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2862" w14:textId="55DC296C" w:rsidR="00B34C5B" w:rsidRPr="00C002AA" w:rsidRDefault="00C002AA" w:rsidP="00B34C5B">
      <w:pPr>
        <w:rPr>
          <w:b/>
          <w:bCs/>
          <w:sz w:val="24"/>
          <w:szCs w:val="24"/>
        </w:rPr>
      </w:pPr>
      <w:r w:rsidRPr="00C002AA">
        <w:rPr>
          <w:b/>
          <w:bCs/>
          <w:sz w:val="24"/>
          <w:szCs w:val="24"/>
        </w:rPr>
        <w:t>Educational</w:t>
      </w:r>
      <w:r w:rsidR="00B34C5B" w:rsidRPr="00C002AA">
        <w:rPr>
          <w:b/>
          <w:bCs/>
          <w:sz w:val="24"/>
          <w:szCs w:val="24"/>
        </w:rPr>
        <w:t xml:space="preserve"> Tracking Sheet for Certified Organizational Ombuds </w:t>
      </w:r>
      <w:r w:rsidRPr="00C002AA">
        <w:rPr>
          <w:b/>
          <w:bCs/>
          <w:sz w:val="24"/>
          <w:szCs w:val="24"/>
        </w:rPr>
        <w:t xml:space="preserve">Certification &amp; </w:t>
      </w:r>
      <w:r w:rsidR="00B34C5B" w:rsidRPr="00C002AA">
        <w:rPr>
          <w:b/>
          <w:bCs/>
          <w:sz w:val="24"/>
          <w:szCs w:val="24"/>
        </w:rPr>
        <w:t xml:space="preserve">Recertification </w:t>
      </w:r>
    </w:p>
    <w:p w14:paraId="57779DF2" w14:textId="7C675F2C" w:rsidR="00B34C5B" w:rsidRPr="00B34C5B" w:rsidRDefault="00C002AA" w:rsidP="00B34C5B">
      <w:pPr>
        <w:rPr>
          <w:sz w:val="24"/>
          <w:szCs w:val="24"/>
        </w:rPr>
      </w:pPr>
      <w:r>
        <w:rPr>
          <w:sz w:val="24"/>
          <w:szCs w:val="24"/>
        </w:rPr>
        <w:t xml:space="preserve">To apply to become a Certified Organizational Ombud, you are required to show 80 hours of ombuds related education. </w:t>
      </w:r>
      <w:r w:rsidR="00B34C5B" w:rsidRPr="00B34C5B">
        <w:rPr>
          <w:sz w:val="24"/>
          <w:szCs w:val="24"/>
        </w:rPr>
        <w:t xml:space="preserve">To continue to be certified as a Certified Organizational Ombuds, you are required to recertify every </w:t>
      </w:r>
      <w:r>
        <w:rPr>
          <w:sz w:val="24"/>
          <w:szCs w:val="24"/>
        </w:rPr>
        <w:t>two</w:t>
      </w:r>
      <w:r w:rsidR="00B34C5B" w:rsidRPr="00B34C5B">
        <w:rPr>
          <w:sz w:val="24"/>
          <w:szCs w:val="24"/>
        </w:rPr>
        <w:t xml:space="preserve"> years. Recertification demonstrates that the practitioner has kept abreast of developments in the field and has maintained a level of professional knowledge consistent with status as a certified practitioner.  </w:t>
      </w:r>
    </w:p>
    <w:p w14:paraId="22F32242" w14:textId="44CFBA5C" w:rsidR="00B34C5B" w:rsidRPr="00B34C5B" w:rsidRDefault="00B34C5B" w:rsidP="00B34C5B">
      <w:pPr>
        <w:rPr>
          <w:sz w:val="24"/>
          <w:szCs w:val="24"/>
        </w:rPr>
      </w:pPr>
      <w:r w:rsidRPr="00B34C5B">
        <w:rPr>
          <w:sz w:val="24"/>
          <w:szCs w:val="24"/>
        </w:rPr>
        <w:t xml:space="preserve">Below you will find a </w:t>
      </w:r>
      <w:r w:rsidR="00407894">
        <w:rPr>
          <w:sz w:val="24"/>
          <w:szCs w:val="24"/>
        </w:rPr>
        <w:t>tracking sheet</w:t>
      </w:r>
      <w:r w:rsidRPr="00B34C5B">
        <w:rPr>
          <w:sz w:val="24"/>
          <w:szCs w:val="24"/>
        </w:rPr>
        <w:t xml:space="preserve"> for verification of attendance at each of the sessions you attend. Each of these sessions has been reviewed by the recertification committee of the certification Board to ensure that they meet the requirement of falling within one of the seven testing domains. Also, each session has been assigned a specific number of </w:t>
      </w:r>
      <w:r w:rsidR="00407894">
        <w:rPr>
          <w:sz w:val="24"/>
          <w:szCs w:val="24"/>
        </w:rPr>
        <w:t>hours</w:t>
      </w:r>
      <w:r w:rsidRPr="00B34C5B">
        <w:rPr>
          <w:sz w:val="24"/>
          <w:szCs w:val="24"/>
        </w:rPr>
        <w:t xml:space="preserve">. Please note that the maximum </w:t>
      </w:r>
      <w:proofErr w:type="gramStart"/>
      <w:r w:rsidRPr="00B34C5B">
        <w:rPr>
          <w:sz w:val="24"/>
          <w:szCs w:val="24"/>
        </w:rPr>
        <w:t>amount</w:t>
      </w:r>
      <w:proofErr w:type="gramEnd"/>
      <w:r w:rsidRPr="00B34C5B">
        <w:rPr>
          <w:sz w:val="24"/>
          <w:szCs w:val="24"/>
        </w:rPr>
        <w:t xml:space="preserve"> of </w:t>
      </w:r>
      <w:r w:rsidR="00407894">
        <w:rPr>
          <w:sz w:val="24"/>
          <w:szCs w:val="24"/>
        </w:rPr>
        <w:t>hours</w:t>
      </w:r>
      <w:r w:rsidRPr="00B34C5B">
        <w:rPr>
          <w:sz w:val="24"/>
          <w:szCs w:val="24"/>
        </w:rPr>
        <w:t xml:space="preserve"> to be claimed from one conference is 15, regardless of how many sessions you attend or present.  </w:t>
      </w:r>
    </w:p>
    <w:p w14:paraId="14FE8DEB" w14:textId="6D150960" w:rsidR="002451CD" w:rsidRPr="00B34C5B" w:rsidRDefault="00B34C5B" w:rsidP="00B34C5B">
      <w:pPr>
        <w:rPr>
          <w:rFonts w:cstheme="minorHAnsi"/>
          <w:sz w:val="24"/>
          <w:szCs w:val="24"/>
        </w:rPr>
      </w:pPr>
      <w:r w:rsidRPr="00B34C5B">
        <w:rPr>
          <w:sz w:val="24"/>
          <w:szCs w:val="24"/>
        </w:rPr>
        <w:t xml:space="preserve">You are responsible for maintaining a </w:t>
      </w:r>
      <w:proofErr w:type="gramStart"/>
      <w:r w:rsidRPr="00B34C5B">
        <w:rPr>
          <w:sz w:val="24"/>
          <w:szCs w:val="24"/>
        </w:rPr>
        <w:t>completed</w:t>
      </w:r>
      <w:proofErr w:type="gramEnd"/>
      <w:r w:rsidRPr="00B34C5B">
        <w:rPr>
          <w:sz w:val="24"/>
          <w:szCs w:val="24"/>
        </w:rPr>
        <w:t xml:space="preserve"> </w:t>
      </w:r>
      <w:r w:rsidR="00407894">
        <w:rPr>
          <w:sz w:val="24"/>
          <w:szCs w:val="24"/>
        </w:rPr>
        <w:t>tracking sheet</w:t>
      </w:r>
      <w:r w:rsidRPr="00B34C5B">
        <w:rPr>
          <w:sz w:val="24"/>
          <w:szCs w:val="24"/>
        </w:rPr>
        <w:t xml:space="preserve"> for </w:t>
      </w:r>
      <w:r w:rsidR="00407894">
        <w:rPr>
          <w:sz w:val="24"/>
          <w:szCs w:val="24"/>
        </w:rPr>
        <w:t xml:space="preserve">certification and </w:t>
      </w:r>
      <w:r w:rsidRPr="00B34C5B">
        <w:rPr>
          <w:sz w:val="24"/>
          <w:szCs w:val="24"/>
        </w:rPr>
        <w:t xml:space="preserve">recertification purposes. If your </w:t>
      </w:r>
      <w:r w:rsidR="00407894">
        <w:rPr>
          <w:sz w:val="24"/>
          <w:szCs w:val="24"/>
        </w:rPr>
        <w:t xml:space="preserve">recertification </w:t>
      </w:r>
      <w:r w:rsidRPr="00B34C5B">
        <w:rPr>
          <w:sz w:val="24"/>
          <w:szCs w:val="24"/>
        </w:rPr>
        <w:t>application is selected for an audit, you will also be asked to verify your attendance at the conference, for example, by providing proof of registration or payment.</w:t>
      </w:r>
    </w:p>
    <w:tbl>
      <w:tblPr>
        <w:tblStyle w:val="TableGrid"/>
        <w:tblW w:w="0" w:type="auto"/>
        <w:tblLook w:val="04A0" w:firstRow="1" w:lastRow="0" w:firstColumn="1" w:lastColumn="0" w:noHBand="0" w:noVBand="1"/>
      </w:tblPr>
      <w:tblGrid>
        <w:gridCol w:w="8815"/>
        <w:gridCol w:w="838"/>
        <w:gridCol w:w="1057"/>
      </w:tblGrid>
      <w:tr w:rsidR="002451CD" w14:paraId="159B6F9C" w14:textId="77777777" w:rsidTr="003F09C8">
        <w:trPr>
          <w:trHeight w:val="503"/>
        </w:trPr>
        <w:tc>
          <w:tcPr>
            <w:tcW w:w="8815" w:type="dxa"/>
            <w:shd w:val="clear" w:color="auto" w:fill="1F1A4E"/>
          </w:tcPr>
          <w:p w14:paraId="27B47541" w14:textId="48EA34F4" w:rsidR="002451CD" w:rsidRPr="00817EA2" w:rsidRDefault="00817EA2" w:rsidP="00AC462E">
            <w:pPr>
              <w:rPr>
                <w:b/>
                <w:bCs/>
                <w:sz w:val="32"/>
                <w:szCs w:val="32"/>
              </w:rPr>
            </w:pPr>
            <w:r w:rsidRPr="00817EA2">
              <w:rPr>
                <w:b/>
                <w:bCs/>
                <w:sz w:val="32"/>
                <w:szCs w:val="32"/>
              </w:rPr>
              <w:t xml:space="preserve">Day One | </w:t>
            </w:r>
            <w:r w:rsidR="00815C60">
              <w:rPr>
                <w:b/>
                <w:bCs/>
                <w:sz w:val="32"/>
                <w:szCs w:val="32"/>
              </w:rPr>
              <w:t>13</w:t>
            </w:r>
            <w:r w:rsidR="00D96D22">
              <w:rPr>
                <w:b/>
                <w:bCs/>
                <w:sz w:val="32"/>
                <w:szCs w:val="32"/>
              </w:rPr>
              <w:t xml:space="preserve"> April 2025</w:t>
            </w:r>
          </w:p>
        </w:tc>
        <w:tc>
          <w:tcPr>
            <w:tcW w:w="838" w:type="dxa"/>
            <w:shd w:val="clear" w:color="auto" w:fill="1F1A4E"/>
          </w:tcPr>
          <w:p w14:paraId="51031335" w14:textId="77777777" w:rsidR="002451CD" w:rsidRDefault="002451CD" w:rsidP="002451CD"/>
        </w:tc>
        <w:tc>
          <w:tcPr>
            <w:tcW w:w="1057" w:type="dxa"/>
            <w:shd w:val="clear" w:color="auto" w:fill="1F1A4E"/>
          </w:tcPr>
          <w:p w14:paraId="7E04B4DD" w14:textId="77777777" w:rsidR="002451CD" w:rsidRDefault="002451CD" w:rsidP="002451CD"/>
        </w:tc>
      </w:tr>
      <w:tr w:rsidR="002451CD" w14:paraId="781CFC30" w14:textId="77777777" w:rsidTr="00C5261D">
        <w:tc>
          <w:tcPr>
            <w:tcW w:w="8815" w:type="dxa"/>
          </w:tcPr>
          <w:p w14:paraId="18E270F8" w14:textId="52B6CD9E" w:rsidR="002451CD" w:rsidRDefault="002451CD" w:rsidP="001554E6"/>
        </w:tc>
        <w:tc>
          <w:tcPr>
            <w:tcW w:w="838" w:type="dxa"/>
          </w:tcPr>
          <w:p w14:paraId="421489AC" w14:textId="22AF95F9" w:rsidR="002451CD" w:rsidRDefault="00817EA2" w:rsidP="00817EA2">
            <w:pPr>
              <w:jc w:val="center"/>
            </w:pPr>
            <w:r>
              <w:t>PDH</w:t>
            </w:r>
          </w:p>
        </w:tc>
        <w:tc>
          <w:tcPr>
            <w:tcW w:w="1057" w:type="dxa"/>
          </w:tcPr>
          <w:p w14:paraId="28F27270" w14:textId="6BD117DB" w:rsidR="002451CD" w:rsidRDefault="00817EA2" w:rsidP="00817EA2">
            <w:pPr>
              <w:jc w:val="center"/>
            </w:pPr>
            <w:r>
              <w:t>Attended</w:t>
            </w:r>
          </w:p>
        </w:tc>
      </w:tr>
      <w:tr w:rsidR="002451CD" w14:paraId="22569C3F" w14:textId="77777777" w:rsidTr="00D96D22">
        <w:trPr>
          <w:trHeight w:val="404"/>
        </w:trPr>
        <w:tc>
          <w:tcPr>
            <w:tcW w:w="8815" w:type="dxa"/>
            <w:shd w:val="clear" w:color="auto" w:fill="FFFFFF" w:themeFill="background1"/>
          </w:tcPr>
          <w:p w14:paraId="377E7379" w14:textId="74770193" w:rsidR="002451CD" w:rsidRPr="00407894" w:rsidRDefault="00D96D22" w:rsidP="00817EA2">
            <w:r>
              <w:rPr>
                <w:b/>
                <w:bCs/>
              </w:rPr>
              <w:t xml:space="preserve">OPENING </w:t>
            </w:r>
            <w:r w:rsidR="00817EA2" w:rsidRPr="00142088">
              <w:rPr>
                <w:b/>
                <w:bCs/>
              </w:rPr>
              <w:t>KEYNOTE</w:t>
            </w:r>
            <w:r w:rsidR="00817EA2" w:rsidRPr="00407894">
              <w:rPr>
                <w:rFonts w:cstheme="minorHAnsi"/>
              </w:rPr>
              <w:t xml:space="preserve">: </w:t>
            </w:r>
            <w:r w:rsidR="00407894" w:rsidRPr="00407894">
              <w:rPr>
                <w:rFonts w:cstheme="minorHAnsi"/>
              </w:rPr>
              <w:t>“Something clinical is missing”:</w:t>
            </w:r>
            <w:r w:rsidR="00407894" w:rsidRPr="00407894">
              <w:rPr>
                <w:rFonts w:cstheme="minorHAnsi"/>
              </w:rPr>
              <w:t xml:space="preserve"> </w:t>
            </w:r>
            <w:r w:rsidR="00407894" w:rsidRPr="00407894">
              <w:rPr>
                <w:rFonts w:cstheme="minorHAnsi"/>
              </w:rPr>
              <w:t>Societal Trauma, Organizational Stress and the Challenge of Dialogue</w:t>
            </w:r>
          </w:p>
        </w:tc>
        <w:tc>
          <w:tcPr>
            <w:tcW w:w="838" w:type="dxa"/>
            <w:shd w:val="clear" w:color="auto" w:fill="FFFFFF" w:themeFill="background1"/>
          </w:tcPr>
          <w:p w14:paraId="0920B862" w14:textId="39406402" w:rsidR="002451CD" w:rsidRDefault="00066753" w:rsidP="00817EA2">
            <w:r>
              <w:t>1.0</w:t>
            </w:r>
          </w:p>
        </w:tc>
        <w:tc>
          <w:tcPr>
            <w:tcW w:w="1057" w:type="dxa"/>
            <w:shd w:val="clear" w:color="auto" w:fill="FFFFFF" w:themeFill="background1"/>
          </w:tcPr>
          <w:p w14:paraId="474E4FC2" w14:textId="77777777" w:rsidR="002451CD" w:rsidRDefault="002451CD" w:rsidP="00817EA2"/>
        </w:tc>
      </w:tr>
      <w:tr w:rsidR="006F59BE" w14:paraId="7F213DF7" w14:textId="77777777" w:rsidTr="00C5261D">
        <w:tc>
          <w:tcPr>
            <w:tcW w:w="8815" w:type="dxa"/>
            <w:shd w:val="clear" w:color="auto" w:fill="D9D9D9" w:themeFill="background1" w:themeFillShade="D9"/>
          </w:tcPr>
          <w:p w14:paraId="752832F7" w14:textId="5B0EAA77" w:rsidR="006F59BE" w:rsidRPr="006F59BE" w:rsidRDefault="006F59BE" w:rsidP="00817EA2">
            <w:pPr>
              <w:rPr>
                <w:b/>
                <w:bCs/>
              </w:rPr>
            </w:pPr>
            <w:r w:rsidRPr="006F59BE">
              <w:rPr>
                <w:b/>
                <w:bCs/>
              </w:rPr>
              <w:t xml:space="preserve">Session Block </w:t>
            </w:r>
            <w:r w:rsidR="00407894">
              <w:rPr>
                <w:b/>
                <w:bCs/>
              </w:rPr>
              <w:t>1</w:t>
            </w:r>
            <w:r w:rsidRPr="006F59BE">
              <w:rPr>
                <w:b/>
                <w:bCs/>
              </w:rPr>
              <w:t xml:space="preserve"> </w:t>
            </w:r>
          </w:p>
        </w:tc>
        <w:tc>
          <w:tcPr>
            <w:tcW w:w="838" w:type="dxa"/>
            <w:shd w:val="clear" w:color="auto" w:fill="D9D9D9" w:themeFill="background1" w:themeFillShade="D9"/>
          </w:tcPr>
          <w:p w14:paraId="22381B21" w14:textId="3251461A" w:rsidR="006F59BE" w:rsidRDefault="006F59BE" w:rsidP="00817EA2"/>
        </w:tc>
        <w:tc>
          <w:tcPr>
            <w:tcW w:w="1057" w:type="dxa"/>
            <w:shd w:val="clear" w:color="auto" w:fill="D9D9D9" w:themeFill="background1" w:themeFillShade="D9"/>
          </w:tcPr>
          <w:p w14:paraId="5D757BF5" w14:textId="77777777" w:rsidR="006F59BE" w:rsidRDefault="006F59BE" w:rsidP="00817EA2"/>
        </w:tc>
      </w:tr>
      <w:tr w:rsidR="0091642E" w14:paraId="5DFE3353" w14:textId="77777777" w:rsidTr="00C5261D">
        <w:tc>
          <w:tcPr>
            <w:tcW w:w="8815" w:type="dxa"/>
          </w:tcPr>
          <w:p w14:paraId="4384A644" w14:textId="18037B47" w:rsidR="0091642E" w:rsidRPr="0091642E" w:rsidRDefault="009F6062" w:rsidP="00817EA2">
            <w:pPr>
              <w:rPr>
                <w:rFonts w:cstheme="minorHAnsi"/>
              </w:rPr>
            </w:pPr>
            <w:r w:rsidRPr="00D96D22">
              <w:rPr>
                <w:rFonts w:cstheme="minorHAnsi"/>
                <w:b/>
                <w:bCs/>
              </w:rPr>
              <w:t xml:space="preserve">1A </w:t>
            </w:r>
            <w:r w:rsidR="00407894" w:rsidRPr="00407894">
              <w:rPr>
                <w:rFonts w:cstheme="minorHAnsi"/>
              </w:rPr>
              <w:t>Achieving and Maintaining Ombuds Embeddedness and Effectiveness</w:t>
            </w:r>
          </w:p>
        </w:tc>
        <w:tc>
          <w:tcPr>
            <w:tcW w:w="838" w:type="dxa"/>
          </w:tcPr>
          <w:p w14:paraId="52EB5C70" w14:textId="641DDE5E" w:rsidR="0091642E" w:rsidRDefault="00815C60" w:rsidP="00817EA2">
            <w:r>
              <w:rPr>
                <w:rFonts w:cstheme="minorHAnsi"/>
              </w:rPr>
              <w:t>.75</w:t>
            </w:r>
          </w:p>
        </w:tc>
        <w:tc>
          <w:tcPr>
            <w:tcW w:w="1057" w:type="dxa"/>
          </w:tcPr>
          <w:p w14:paraId="2A461772" w14:textId="77777777" w:rsidR="0091642E" w:rsidRDefault="0091642E" w:rsidP="00817EA2"/>
        </w:tc>
      </w:tr>
      <w:tr w:rsidR="00817EA2" w14:paraId="79039C28" w14:textId="77777777" w:rsidTr="00D96D22">
        <w:tc>
          <w:tcPr>
            <w:tcW w:w="8815" w:type="dxa"/>
          </w:tcPr>
          <w:p w14:paraId="43205C69" w14:textId="6A5646D2" w:rsidR="00817EA2" w:rsidRPr="00407894" w:rsidRDefault="009F6062" w:rsidP="00407894">
            <w:pPr>
              <w:rPr>
                <w:rFonts w:ascii="Arial" w:hAnsi="Arial" w:cs="Arial"/>
                <w:color w:val="000000"/>
              </w:rPr>
            </w:pPr>
            <w:r w:rsidRPr="00D96D22">
              <w:rPr>
                <w:b/>
                <w:bCs/>
              </w:rPr>
              <w:t xml:space="preserve">1B </w:t>
            </w:r>
            <w:r w:rsidR="00407894" w:rsidRPr="00407894">
              <w:rPr>
                <w:rFonts w:cstheme="minorHAnsi"/>
              </w:rPr>
              <w:t>Building the Nimble Ombuds Office: Approaching the SOPs from what you can do Introducing the Concept of Affordance in office design and Standards of Practice Application</w:t>
            </w:r>
          </w:p>
        </w:tc>
        <w:tc>
          <w:tcPr>
            <w:tcW w:w="838" w:type="dxa"/>
          </w:tcPr>
          <w:p w14:paraId="4B85EE80" w14:textId="49C4E2D1" w:rsidR="00817EA2" w:rsidRDefault="00815C60" w:rsidP="00817EA2">
            <w:r>
              <w:rPr>
                <w:rFonts w:cstheme="minorHAnsi"/>
              </w:rPr>
              <w:t>.75</w:t>
            </w:r>
          </w:p>
        </w:tc>
        <w:tc>
          <w:tcPr>
            <w:tcW w:w="1057" w:type="dxa"/>
          </w:tcPr>
          <w:p w14:paraId="6C1B93D7" w14:textId="77777777" w:rsidR="00817EA2" w:rsidRDefault="00817EA2" w:rsidP="00817EA2"/>
        </w:tc>
      </w:tr>
      <w:tr w:rsidR="00817EA2" w14:paraId="1514AE12" w14:textId="77777777" w:rsidTr="00C5261D">
        <w:tc>
          <w:tcPr>
            <w:tcW w:w="8815" w:type="dxa"/>
          </w:tcPr>
          <w:p w14:paraId="35F18BCA" w14:textId="55D1BD41" w:rsidR="00817EA2" w:rsidRPr="00407894" w:rsidRDefault="00AC462E" w:rsidP="00407894">
            <w:pPr>
              <w:rPr>
                <w:rFonts w:ascii="Arial" w:hAnsi="Arial" w:cs="Arial"/>
                <w:color w:val="000000"/>
              </w:rPr>
            </w:pPr>
            <w:r w:rsidRPr="00D96D22">
              <w:rPr>
                <w:b/>
                <w:bCs/>
              </w:rPr>
              <w:t>1</w:t>
            </w:r>
            <w:r w:rsidR="009F6062" w:rsidRPr="00D96D22">
              <w:rPr>
                <w:b/>
                <w:bCs/>
              </w:rPr>
              <w:t>C</w:t>
            </w:r>
            <w:r w:rsidR="009F6062">
              <w:t xml:space="preserve"> </w:t>
            </w:r>
            <w:r w:rsidR="00407894" w:rsidRPr="00407894">
              <w:rPr>
                <w:rFonts w:cstheme="minorHAnsi"/>
              </w:rPr>
              <w:t>From Uncertainty to Agency: Ombuds Best Practices for Empowering Undergraduate Students</w:t>
            </w:r>
          </w:p>
        </w:tc>
        <w:tc>
          <w:tcPr>
            <w:tcW w:w="838" w:type="dxa"/>
          </w:tcPr>
          <w:p w14:paraId="0E8CA2B9" w14:textId="6DB3BA1D" w:rsidR="00817EA2" w:rsidRDefault="00815C60" w:rsidP="00817EA2">
            <w:r>
              <w:rPr>
                <w:rFonts w:cstheme="minorHAnsi"/>
              </w:rPr>
              <w:t>.75</w:t>
            </w:r>
          </w:p>
        </w:tc>
        <w:tc>
          <w:tcPr>
            <w:tcW w:w="1057" w:type="dxa"/>
          </w:tcPr>
          <w:p w14:paraId="444B3A9F" w14:textId="77777777" w:rsidR="00817EA2" w:rsidRDefault="00817EA2" w:rsidP="00817EA2"/>
        </w:tc>
      </w:tr>
      <w:tr w:rsidR="006F59BE" w14:paraId="49C2AAC9" w14:textId="77777777" w:rsidTr="00C5261D">
        <w:tc>
          <w:tcPr>
            <w:tcW w:w="8815" w:type="dxa"/>
          </w:tcPr>
          <w:p w14:paraId="5C8A3C55" w14:textId="1AB2BB8D" w:rsidR="006F59BE" w:rsidRPr="00407894" w:rsidRDefault="00AC462E" w:rsidP="00407894">
            <w:pPr>
              <w:rPr>
                <w:rFonts w:cstheme="minorHAnsi"/>
              </w:rPr>
            </w:pPr>
            <w:r w:rsidRPr="00407894">
              <w:rPr>
                <w:rFonts w:cstheme="minorHAnsi"/>
                <w:b/>
                <w:bCs/>
              </w:rPr>
              <w:t>1</w:t>
            </w:r>
            <w:r w:rsidR="009F6062" w:rsidRPr="00407894">
              <w:rPr>
                <w:rFonts w:cstheme="minorHAnsi"/>
                <w:b/>
                <w:bCs/>
              </w:rPr>
              <w:t>D</w:t>
            </w:r>
            <w:r w:rsidR="009F6062" w:rsidRPr="00407894">
              <w:rPr>
                <w:rFonts w:cstheme="minorHAnsi"/>
              </w:rPr>
              <w:t xml:space="preserve"> </w:t>
            </w:r>
            <w:r w:rsidR="00407894" w:rsidRPr="00407894">
              <w:rPr>
                <w:rFonts w:cstheme="minorHAnsi"/>
              </w:rPr>
              <w:t>The Conflict That Won't Go Away: Using DST to Unlock Stubborn Conflicts</w:t>
            </w:r>
          </w:p>
        </w:tc>
        <w:tc>
          <w:tcPr>
            <w:tcW w:w="838" w:type="dxa"/>
          </w:tcPr>
          <w:p w14:paraId="3E3970CE" w14:textId="5A7279B9" w:rsidR="006F59BE" w:rsidRDefault="00815C60" w:rsidP="00817EA2">
            <w:r>
              <w:rPr>
                <w:rFonts w:cstheme="minorHAnsi"/>
              </w:rPr>
              <w:t>.75</w:t>
            </w:r>
          </w:p>
        </w:tc>
        <w:tc>
          <w:tcPr>
            <w:tcW w:w="1057" w:type="dxa"/>
          </w:tcPr>
          <w:p w14:paraId="3CA96634" w14:textId="77777777" w:rsidR="006F59BE" w:rsidRDefault="006F59BE" w:rsidP="00817EA2"/>
        </w:tc>
      </w:tr>
      <w:tr w:rsidR="00815C60" w14:paraId="1CBF581D" w14:textId="77777777" w:rsidTr="00C5261D">
        <w:tc>
          <w:tcPr>
            <w:tcW w:w="8815" w:type="dxa"/>
          </w:tcPr>
          <w:p w14:paraId="085EA96D" w14:textId="51D741D3" w:rsidR="00815C60" w:rsidRPr="00A67309" w:rsidRDefault="00A67309" w:rsidP="00815C60">
            <w:pPr>
              <w:rPr>
                <w:b/>
                <w:bCs/>
              </w:rPr>
            </w:pPr>
            <w:r>
              <w:rPr>
                <w:rFonts w:cstheme="minorHAnsi"/>
                <w:b/>
                <w:bCs/>
              </w:rPr>
              <w:t xml:space="preserve">1E </w:t>
            </w:r>
            <w:r w:rsidRPr="00A67309">
              <w:rPr>
                <w:rFonts w:cstheme="minorHAnsi"/>
              </w:rPr>
              <w:t>From Empathy at the Core: Advancing User-Centric Innovation in Ombuds Service</w:t>
            </w:r>
          </w:p>
        </w:tc>
        <w:tc>
          <w:tcPr>
            <w:tcW w:w="838" w:type="dxa"/>
          </w:tcPr>
          <w:p w14:paraId="32965F77" w14:textId="19078165" w:rsidR="00815C60" w:rsidRDefault="00815C60" w:rsidP="00815C60">
            <w:r w:rsidRPr="00206314">
              <w:rPr>
                <w:rFonts w:cstheme="minorHAnsi"/>
              </w:rPr>
              <w:t>.75</w:t>
            </w:r>
          </w:p>
        </w:tc>
        <w:tc>
          <w:tcPr>
            <w:tcW w:w="1057" w:type="dxa"/>
          </w:tcPr>
          <w:p w14:paraId="4DD919CB" w14:textId="77777777" w:rsidR="00815C60" w:rsidRDefault="00815C60" w:rsidP="00815C60"/>
        </w:tc>
      </w:tr>
      <w:tr w:rsidR="00C5261D" w14:paraId="20AC0E2D" w14:textId="77777777" w:rsidTr="00C5261D">
        <w:tc>
          <w:tcPr>
            <w:tcW w:w="8815" w:type="dxa"/>
            <w:shd w:val="clear" w:color="auto" w:fill="D9D9D9" w:themeFill="background1" w:themeFillShade="D9"/>
          </w:tcPr>
          <w:p w14:paraId="74B36322" w14:textId="0C82A63D" w:rsidR="00C5261D" w:rsidRPr="00C5261D" w:rsidRDefault="00C5261D" w:rsidP="00817EA2">
            <w:pPr>
              <w:rPr>
                <w:b/>
                <w:bCs/>
              </w:rPr>
            </w:pPr>
            <w:r w:rsidRPr="00C5261D">
              <w:rPr>
                <w:b/>
                <w:bCs/>
              </w:rPr>
              <w:t xml:space="preserve">Session Block 2 </w:t>
            </w:r>
          </w:p>
        </w:tc>
        <w:tc>
          <w:tcPr>
            <w:tcW w:w="838" w:type="dxa"/>
            <w:shd w:val="clear" w:color="auto" w:fill="D9D9D9" w:themeFill="background1" w:themeFillShade="D9"/>
          </w:tcPr>
          <w:p w14:paraId="20EF11A7" w14:textId="77777777" w:rsidR="00C5261D" w:rsidRDefault="00C5261D" w:rsidP="00817EA2"/>
        </w:tc>
        <w:tc>
          <w:tcPr>
            <w:tcW w:w="1057" w:type="dxa"/>
            <w:shd w:val="clear" w:color="auto" w:fill="D9D9D9" w:themeFill="background1" w:themeFillShade="D9"/>
          </w:tcPr>
          <w:p w14:paraId="0E8508B7" w14:textId="77777777" w:rsidR="00C5261D" w:rsidRDefault="00C5261D" w:rsidP="00817EA2"/>
        </w:tc>
      </w:tr>
      <w:tr w:rsidR="00D96D22" w14:paraId="4C16F034" w14:textId="77777777" w:rsidTr="00D96D22">
        <w:tc>
          <w:tcPr>
            <w:tcW w:w="8815" w:type="dxa"/>
          </w:tcPr>
          <w:p w14:paraId="7B52608C" w14:textId="61C0A2BB" w:rsidR="00D96D22" w:rsidRPr="00407894" w:rsidRDefault="00B34C5B" w:rsidP="00407894">
            <w:pPr>
              <w:rPr>
                <w:rFonts w:cstheme="minorHAnsi"/>
              </w:rPr>
            </w:pPr>
            <w:r w:rsidRPr="00407894">
              <w:rPr>
                <w:rFonts w:cstheme="minorHAnsi"/>
                <w:b/>
                <w:bCs/>
              </w:rPr>
              <w:t>2A</w:t>
            </w:r>
            <w:r w:rsidRPr="00407894">
              <w:rPr>
                <w:rFonts w:cstheme="minorHAnsi"/>
              </w:rPr>
              <w:t xml:space="preserve"> </w:t>
            </w:r>
            <w:r w:rsidR="00407894" w:rsidRPr="00407894">
              <w:rPr>
                <w:rFonts w:cstheme="minorHAnsi"/>
              </w:rPr>
              <w:t>Standards as Strategic Assets: Navigating Jurisdictional Currents</w:t>
            </w:r>
          </w:p>
        </w:tc>
        <w:tc>
          <w:tcPr>
            <w:tcW w:w="838" w:type="dxa"/>
          </w:tcPr>
          <w:p w14:paraId="224EDF56" w14:textId="5FD57E5D" w:rsidR="00D96D22" w:rsidRDefault="00815C60" w:rsidP="00817EA2">
            <w:r>
              <w:rPr>
                <w:rFonts w:cstheme="minorHAnsi"/>
              </w:rPr>
              <w:t>.75</w:t>
            </w:r>
          </w:p>
        </w:tc>
        <w:tc>
          <w:tcPr>
            <w:tcW w:w="1057" w:type="dxa"/>
          </w:tcPr>
          <w:p w14:paraId="46DA9F1D" w14:textId="77777777" w:rsidR="00D96D22" w:rsidRDefault="00D96D22" w:rsidP="00817EA2"/>
        </w:tc>
      </w:tr>
      <w:tr w:rsidR="00C5261D" w14:paraId="67E8E9A3" w14:textId="77777777" w:rsidTr="00D96D22">
        <w:tc>
          <w:tcPr>
            <w:tcW w:w="8815" w:type="dxa"/>
          </w:tcPr>
          <w:p w14:paraId="23F48373" w14:textId="362FD6FF" w:rsidR="00C5261D" w:rsidRPr="00407894" w:rsidRDefault="00C5261D" w:rsidP="00817EA2">
            <w:r w:rsidRPr="00D96D22">
              <w:rPr>
                <w:b/>
                <w:bCs/>
              </w:rPr>
              <w:t>2B</w:t>
            </w:r>
            <w:r>
              <w:t xml:space="preserve"> </w:t>
            </w:r>
            <w:r w:rsidR="00407894" w:rsidRPr="00407894">
              <w:rPr>
                <w:rFonts w:cstheme="minorHAnsi"/>
              </w:rPr>
              <w:t>Exploring Rapid Ethnography for Ombuds Practice</w:t>
            </w:r>
          </w:p>
        </w:tc>
        <w:tc>
          <w:tcPr>
            <w:tcW w:w="838" w:type="dxa"/>
          </w:tcPr>
          <w:p w14:paraId="7663A81E" w14:textId="4F07E004" w:rsidR="00C5261D" w:rsidRDefault="00815C60" w:rsidP="00817EA2">
            <w:r>
              <w:rPr>
                <w:rFonts w:cstheme="minorHAnsi"/>
              </w:rPr>
              <w:t>.75</w:t>
            </w:r>
          </w:p>
        </w:tc>
        <w:tc>
          <w:tcPr>
            <w:tcW w:w="1057" w:type="dxa"/>
          </w:tcPr>
          <w:p w14:paraId="683582D4" w14:textId="77777777" w:rsidR="00C5261D" w:rsidRDefault="00C5261D" w:rsidP="00817EA2"/>
        </w:tc>
      </w:tr>
      <w:tr w:rsidR="00C5261D" w14:paraId="3E19559A" w14:textId="77777777" w:rsidTr="00C5261D">
        <w:tc>
          <w:tcPr>
            <w:tcW w:w="8815" w:type="dxa"/>
          </w:tcPr>
          <w:p w14:paraId="5B5C586C" w14:textId="6457C02A" w:rsidR="00C5261D" w:rsidRPr="00407894" w:rsidRDefault="00C5261D" w:rsidP="00407894">
            <w:pPr>
              <w:rPr>
                <w:rFonts w:ascii="Arial" w:hAnsi="Arial" w:cs="Arial"/>
                <w:color w:val="000000"/>
              </w:rPr>
            </w:pPr>
            <w:r w:rsidRPr="00D96D22">
              <w:rPr>
                <w:b/>
                <w:bCs/>
              </w:rPr>
              <w:t>2C</w:t>
            </w:r>
            <w:r>
              <w:t xml:space="preserve"> </w:t>
            </w:r>
            <w:r w:rsidR="00407894" w:rsidRPr="00407894">
              <w:rPr>
                <w:rFonts w:cstheme="minorHAnsi"/>
              </w:rPr>
              <w:t xml:space="preserve">What Crossing the Himalayas on a Motorcycle Taught Me About Conflict, Connection, and Dialogue and How What I </w:t>
            </w:r>
            <w:proofErr w:type="gramStart"/>
            <w:r w:rsidR="00407894" w:rsidRPr="00407894">
              <w:rPr>
                <w:rFonts w:cstheme="minorHAnsi"/>
              </w:rPr>
              <w:t>learned</w:t>
            </w:r>
            <w:proofErr w:type="gramEnd"/>
            <w:r w:rsidR="00407894" w:rsidRPr="00407894">
              <w:rPr>
                <w:rFonts w:cstheme="minorHAnsi"/>
              </w:rPr>
              <w:t xml:space="preserve"> Can Change Your Ombuds Practice</w:t>
            </w:r>
          </w:p>
        </w:tc>
        <w:tc>
          <w:tcPr>
            <w:tcW w:w="838" w:type="dxa"/>
          </w:tcPr>
          <w:p w14:paraId="00B919E1" w14:textId="6E0899FB" w:rsidR="00C5261D" w:rsidRDefault="00815C60" w:rsidP="00817EA2">
            <w:r>
              <w:rPr>
                <w:rFonts w:cstheme="minorHAnsi"/>
              </w:rPr>
              <w:t>.75</w:t>
            </w:r>
          </w:p>
        </w:tc>
        <w:tc>
          <w:tcPr>
            <w:tcW w:w="1057" w:type="dxa"/>
          </w:tcPr>
          <w:p w14:paraId="58227CC4" w14:textId="77777777" w:rsidR="00C5261D" w:rsidRDefault="00C5261D" w:rsidP="00817EA2"/>
        </w:tc>
      </w:tr>
      <w:tr w:rsidR="00C5261D" w14:paraId="0AFF1988" w14:textId="77777777" w:rsidTr="00C5261D">
        <w:tc>
          <w:tcPr>
            <w:tcW w:w="8815" w:type="dxa"/>
          </w:tcPr>
          <w:p w14:paraId="7C1D1031" w14:textId="1573E8B2" w:rsidR="00C5261D" w:rsidRPr="00407894" w:rsidRDefault="00C5261D" w:rsidP="00407894">
            <w:pPr>
              <w:rPr>
                <w:rFonts w:ascii="Arial" w:hAnsi="Arial" w:cs="Arial"/>
                <w:color w:val="000000"/>
              </w:rPr>
            </w:pPr>
            <w:r w:rsidRPr="00D96D22">
              <w:rPr>
                <w:b/>
                <w:bCs/>
              </w:rPr>
              <w:t>2</w:t>
            </w:r>
            <w:r w:rsidR="00AC462E" w:rsidRPr="00D96D22">
              <w:rPr>
                <w:b/>
                <w:bCs/>
              </w:rPr>
              <w:t>D</w:t>
            </w:r>
            <w:r w:rsidR="00AC462E">
              <w:t xml:space="preserve"> </w:t>
            </w:r>
            <w:r w:rsidR="00407894" w:rsidRPr="00407894">
              <w:rPr>
                <w:rFonts w:cstheme="minorHAnsi"/>
              </w:rPr>
              <w:t>Community-Centered Collaboration System (C3S): A Systems Framework for Organizational Ombuds Practice</w:t>
            </w:r>
          </w:p>
        </w:tc>
        <w:tc>
          <w:tcPr>
            <w:tcW w:w="838" w:type="dxa"/>
          </w:tcPr>
          <w:p w14:paraId="02032336" w14:textId="634B5FAD" w:rsidR="00C5261D" w:rsidRDefault="00815C60" w:rsidP="00817EA2">
            <w:r>
              <w:rPr>
                <w:rFonts w:cstheme="minorHAnsi"/>
              </w:rPr>
              <w:t>.75</w:t>
            </w:r>
          </w:p>
        </w:tc>
        <w:tc>
          <w:tcPr>
            <w:tcW w:w="1057" w:type="dxa"/>
          </w:tcPr>
          <w:p w14:paraId="4D6A8863" w14:textId="77777777" w:rsidR="00C5261D" w:rsidRDefault="00C5261D" w:rsidP="00817EA2"/>
        </w:tc>
      </w:tr>
      <w:tr w:rsidR="00D96D22" w14:paraId="7290C600" w14:textId="77777777" w:rsidTr="00C5261D">
        <w:tc>
          <w:tcPr>
            <w:tcW w:w="8815" w:type="dxa"/>
          </w:tcPr>
          <w:p w14:paraId="1C046E5B" w14:textId="65A0B806" w:rsidR="00D96D22" w:rsidRPr="00407894" w:rsidRDefault="00D96D22" w:rsidP="00817EA2">
            <w:pPr>
              <w:rPr>
                <w:rFonts w:cstheme="minorHAnsi"/>
              </w:rPr>
            </w:pPr>
            <w:r w:rsidRPr="00407894">
              <w:rPr>
                <w:rFonts w:cstheme="minorHAnsi"/>
                <w:b/>
                <w:bCs/>
              </w:rPr>
              <w:t>2E</w:t>
            </w:r>
            <w:r w:rsidRPr="00407894">
              <w:rPr>
                <w:rFonts w:cstheme="minorHAnsi"/>
              </w:rPr>
              <w:t xml:space="preserve"> </w:t>
            </w:r>
            <w:r w:rsidR="00407894" w:rsidRPr="00407894">
              <w:rPr>
                <w:rFonts w:cstheme="minorHAnsi"/>
              </w:rPr>
              <w:t>RNA Research Cafe </w:t>
            </w:r>
          </w:p>
        </w:tc>
        <w:tc>
          <w:tcPr>
            <w:tcW w:w="838" w:type="dxa"/>
          </w:tcPr>
          <w:p w14:paraId="710A530D" w14:textId="3A612387" w:rsidR="00D96D22" w:rsidRDefault="00815C60" w:rsidP="00817EA2">
            <w:r>
              <w:rPr>
                <w:rFonts w:cstheme="minorHAnsi"/>
              </w:rPr>
              <w:t>.75</w:t>
            </w:r>
          </w:p>
        </w:tc>
        <w:tc>
          <w:tcPr>
            <w:tcW w:w="1057" w:type="dxa"/>
          </w:tcPr>
          <w:p w14:paraId="34210A31" w14:textId="77777777" w:rsidR="00D96D22" w:rsidRDefault="00D96D22" w:rsidP="00817EA2"/>
        </w:tc>
      </w:tr>
      <w:tr w:rsidR="00D96D22" w14:paraId="74994AB9" w14:textId="77777777" w:rsidTr="00D96D22">
        <w:tc>
          <w:tcPr>
            <w:tcW w:w="8815" w:type="dxa"/>
            <w:shd w:val="clear" w:color="auto" w:fill="D9D9D9" w:themeFill="background1" w:themeFillShade="D9"/>
          </w:tcPr>
          <w:p w14:paraId="1E839F1E" w14:textId="3B167834" w:rsidR="00D96D22" w:rsidRDefault="00D96D22" w:rsidP="00817EA2">
            <w:pPr>
              <w:rPr>
                <w:b/>
                <w:bCs/>
              </w:rPr>
            </w:pPr>
            <w:r>
              <w:rPr>
                <w:b/>
                <w:bCs/>
              </w:rPr>
              <w:t xml:space="preserve">Mini Sessions </w:t>
            </w:r>
          </w:p>
        </w:tc>
        <w:tc>
          <w:tcPr>
            <w:tcW w:w="838" w:type="dxa"/>
            <w:shd w:val="clear" w:color="auto" w:fill="D9D9D9" w:themeFill="background1" w:themeFillShade="D9"/>
          </w:tcPr>
          <w:p w14:paraId="3A7C04CF" w14:textId="41FBB18E" w:rsidR="00D96D22" w:rsidRDefault="00D96D22" w:rsidP="00817EA2"/>
        </w:tc>
        <w:tc>
          <w:tcPr>
            <w:tcW w:w="1057" w:type="dxa"/>
            <w:shd w:val="clear" w:color="auto" w:fill="D9D9D9" w:themeFill="background1" w:themeFillShade="D9"/>
          </w:tcPr>
          <w:p w14:paraId="42D15AE8" w14:textId="77777777" w:rsidR="00D96D22" w:rsidRDefault="00D96D22" w:rsidP="00817EA2"/>
        </w:tc>
      </w:tr>
      <w:tr w:rsidR="00D96D22" w14:paraId="550B3B51" w14:textId="77777777" w:rsidTr="00D96D22">
        <w:tc>
          <w:tcPr>
            <w:tcW w:w="8815" w:type="dxa"/>
          </w:tcPr>
          <w:p w14:paraId="659E7F49" w14:textId="33C83F4E" w:rsidR="00D96D22" w:rsidRPr="00407894" w:rsidRDefault="00407894" w:rsidP="00817EA2">
            <w:pPr>
              <w:rPr>
                <w:rFonts w:ascii="Aptos Narrow" w:hAnsi="Aptos Narrow"/>
                <w:color w:val="000000"/>
                <w:sz w:val="20"/>
                <w:szCs w:val="20"/>
              </w:rPr>
            </w:pPr>
            <w:r w:rsidRPr="00407894">
              <w:rPr>
                <w:rFonts w:ascii="Aptos Narrow" w:hAnsi="Aptos Narrow"/>
                <w:color w:val="000000"/>
                <w:sz w:val="20"/>
                <w:szCs w:val="20"/>
              </w:rPr>
              <w:t>Words that Heal</w:t>
            </w:r>
          </w:p>
        </w:tc>
        <w:tc>
          <w:tcPr>
            <w:tcW w:w="838" w:type="dxa"/>
          </w:tcPr>
          <w:p w14:paraId="0C85F621" w14:textId="64EE0DE4" w:rsidR="00407894" w:rsidRDefault="00407894" w:rsidP="00817EA2">
            <w:r>
              <w:t>.25</w:t>
            </w:r>
          </w:p>
        </w:tc>
        <w:tc>
          <w:tcPr>
            <w:tcW w:w="1057" w:type="dxa"/>
          </w:tcPr>
          <w:p w14:paraId="0A4004F7" w14:textId="77777777" w:rsidR="00D96D22" w:rsidRDefault="00D96D22" w:rsidP="00817EA2"/>
        </w:tc>
      </w:tr>
      <w:tr w:rsidR="00D96D22" w14:paraId="122BDCF4" w14:textId="77777777" w:rsidTr="00D96D22">
        <w:tc>
          <w:tcPr>
            <w:tcW w:w="8815" w:type="dxa"/>
          </w:tcPr>
          <w:p w14:paraId="251F0FD3" w14:textId="7826F2F6" w:rsidR="00D96D22" w:rsidRPr="00407894" w:rsidRDefault="00407894" w:rsidP="00817EA2">
            <w:pPr>
              <w:rPr>
                <w:rFonts w:ascii="Aptos Narrow" w:hAnsi="Aptos Narrow"/>
                <w:color w:val="000000"/>
                <w:sz w:val="20"/>
                <w:szCs w:val="20"/>
              </w:rPr>
            </w:pPr>
            <w:r w:rsidRPr="00407894">
              <w:rPr>
                <w:rFonts w:ascii="Aptos Narrow" w:hAnsi="Aptos Narrow"/>
                <w:color w:val="000000"/>
                <w:sz w:val="20"/>
                <w:szCs w:val="20"/>
              </w:rPr>
              <w:t>Indigenous Conflict Perspectives</w:t>
            </w:r>
          </w:p>
        </w:tc>
        <w:tc>
          <w:tcPr>
            <w:tcW w:w="838" w:type="dxa"/>
          </w:tcPr>
          <w:p w14:paraId="33AED577" w14:textId="29049C51" w:rsidR="00D96D22" w:rsidRDefault="00407894" w:rsidP="00817EA2">
            <w:r>
              <w:t>.25</w:t>
            </w:r>
          </w:p>
        </w:tc>
        <w:tc>
          <w:tcPr>
            <w:tcW w:w="1057" w:type="dxa"/>
          </w:tcPr>
          <w:p w14:paraId="553FF877" w14:textId="77777777" w:rsidR="00D96D22" w:rsidRDefault="00D96D22" w:rsidP="00817EA2"/>
        </w:tc>
      </w:tr>
      <w:tr w:rsidR="00A67309" w14:paraId="45F77935" w14:textId="77777777" w:rsidTr="00D96D22">
        <w:tc>
          <w:tcPr>
            <w:tcW w:w="8815" w:type="dxa"/>
          </w:tcPr>
          <w:p w14:paraId="28276E88" w14:textId="0EC6A8FD" w:rsidR="00A67309" w:rsidRPr="00407894" w:rsidRDefault="00A67309" w:rsidP="00407894">
            <w:pPr>
              <w:rPr>
                <w:rFonts w:ascii="Aptos Narrow" w:hAnsi="Aptos Narrow"/>
                <w:color w:val="000000"/>
                <w:sz w:val="20"/>
                <w:szCs w:val="20"/>
              </w:rPr>
            </w:pPr>
            <w:r>
              <w:rPr>
                <w:rFonts w:ascii="Aptos Narrow" w:hAnsi="Aptos Narrow"/>
                <w:color w:val="000000"/>
                <w:sz w:val="20"/>
                <w:szCs w:val="20"/>
              </w:rPr>
              <w:t>The Value of Reach Out Initiatives</w:t>
            </w:r>
          </w:p>
        </w:tc>
        <w:tc>
          <w:tcPr>
            <w:tcW w:w="838" w:type="dxa"/>
          </w:tcPr>
          <w:p w14:paraId="0BC8270F" w14:textId="719B31D1" w:rsidR="00A67309" w:rsidRDefault="00A67309" w:rsidP="00817EA2">
            <w:r>
              <w:t>.25</w:t>
            </w:r>
          </w:p>
        </w:tc>
        <w:tc>
          <w:tcPr>
            <w:tcW w:w="1057" w:type="dxa"/>
          </w:tcPr>
          <w:p w14:paraId="188F2126" w14:textId="77777777" w:rsidR="00A67309" w:rsidRDefault="00A67309" w:rsidP="00817EA2"/>
        </w:tc>
      </w:tr>
      <w:tr w:rsidR="00D96D22" w14:paraId="03303D8D" w14:textId="77777777" w:rsidTr="00D96D22">
        <w:tc>
          <w:tcPr>
            <w:tcW w:w="8815" w:type="dxa"/>
          </w:tcPr>
          <w:p w14:paraId="6CE4A414" w14:textId="77777777" w:rsidR="00407894" w:rsidRPr="00407894" w:rsidRDefault="00407894" w:rsidP="00407894">
            <w:pPr>
              <w:rPr>
                <w:rFonts w:ascii="Aptos Narrow" w:hAnsi="Aptos Narrow"/>
                <w:color w:val="000000"/>
                <w:sz w:val="20"/>
                <w:szCs w:val="20"/>
              </w:rPr>
            </w:pPr>
            <w:r w:rsidRPr="00407894">
              <w:rPr>
                <w:rFonts w:ascii="Aptos Narrow" w:hAnsi="Aptos Narrow"/>
                <w:color w:val="000000"/>
                <w:sz w:val="20"/>
                <w:szCs w:val="20"/>
              </w:rPr>
              <w:t>Demonstrating ROI and Success of Ombuds Programs: Making the Invisible Visible</w:t>
            </w:r>
          </w:p>
          <w:p w14:paraId="0965E622" w14:textId="1DD7BAD3" w:rsidR="00D96D22" w:rsidRPr="00407894" w:rsidRDefault="00407894" w:rsidP="00817EA2">
            <w:pPr>
              <w:rPr>
                <w:rFonts w:ascii="Aptos Narrow" w:hAnsi="Aptos Narrow"/>
                <w:color w:val="000000"/>
                <w:sz w:val="20"/>
                <w:szCs w:val="20"/>
              </w:rPr>
            </w:pPr>
            <w:r w:rsidRPr="00407894">
              <w:rPr>
                <w:rFonts w:ascii="Aptos Narrow" w:hAnsi="Aptos Narrow"/>
                <w:color w:val="000000"/>
                <w:sz w:val="20"/>
                <w:szCs w:val="20"/>
              </w:rPr>
              <w:t>Ombuds Leadership in Crisis: Supporting Your Organization Through Workforce Reduction</w:t>
            </w:r>
          </w:p>
        </w:tc>
        <w:tc>
          <w:tcPr>
            <w:tcW w:w="838" w:type="dxa"/>
          </w:tcPr>
          <w:p w14:paraId="253A5E7A" w14:textId="60077413" w:rsidR="00D96D22" w:rsidRDefault="00407894" w:rsidP="00817EA2">
            <w:r>
              <w:t>.25</w:t>
            </w:r>
          </w:p>
        </w:tc>
        <w:tc>
          <w:tcPr>
            <w:tcW w:w="1057" w:type="dxa"/>
          </w:tcPr>
          <w:p w14:paraId="4B4723AB" w14:textId="77777777" w:rsidR="00D96D22" w:rsidRDefault="00D96D22" w:rsidP="00817EA2"/>
        </w:tc>
      </w:tr>
      <w:tr w:rsidR="00A67309" w14:paraId="7F251396" w14:textId="77777777" w:rsidTr="00D96D22">
        <w:tc>
          <w:tcPr>
            <w:tcW w:w="8815" w:type="dxa"/>
          </w:tcPr>
          <w:p w14:paraId="6E14A633" w14:textId="327966E2" w:rsidR="00A67309" w:rsidRPr="00A67309" w:rsidRDefault="00A67309" w:rsidP="00817EA2">
            <w:pPr>
              <w:rPr>
                <w:rFonts w:ascii="Aptos Narrow" w:hAnsi="Aptos Narrow"/>
                <w:color w:val="000000"/>
                <w:sz w:val="20"/>
                <w:szCs w:val="20"/>
              </w:rPr>
            </w:pPr>
            <w:r w:rsidRPr="00A67309">
              <w:rPr>
                <w:rFonts w:ascii="Aptos Narrow" w:hAnsi="Aptos Narrow"/>
                <w:color w:val="000000"/>
                <w:sz w:val="20"/>
                <w:szCs w:val="20"/>
              </w:rPr>
              <w:t>Ombuds Leadership in Crisis: Supporting Your Organization Through Workforce Reduction</w:t>
            </w:r>
          </w:p>
        </w:tc>
        <w:tc>
          <w:tcPr>
            <w:tcW w:w="838" w:type="dxa"/>
          </w:tcPr>
          <w:p w14:paraId="2938F79A" w14:textId="77777777" w:rsidR="00A67309" w:rsidRDefault="00A67309" w:rsidP="00817EA2"/>
        </w:tc>
        <w:tc>
          <w:tcPr>
            <w:tcW w:w="1057" w:type="dxa"/>
          </w:tcPr>
          <w:p w14:paraId="097F9934" w14:textId="77777777" w:rsidR="00A67309" w:rsidRDefault="00A67309" w:rsidP="00817EA2"/>
        </w:tc>
      </w:tr>
      <w:tr w:rsidR="00D96D22" w14:paraId="118EE3BA" w14:textId="77777777" w:rsidTr="00D96D22">
        <w:tc>
          <w:tcPr>
            <w:tcW w:w="8815" w:type="dxa"/>
          </w:tcPr>
          <w:p w14:paraId="6F51A17A" w14:textId="10605FBD" w:rsidR="00D96D22" w:rsidRPr="00407894" w:rsidRDefault="00407894" w:rsidP="00817EA2">
            <w:pPr>
              <w:rPr>
                <w:rFonts w:ascii="Aptos Narrow" w:hAnsi="Aptos Narrow"/>
                <w:color w:val="000000"/>
                <w:sz w:val="20"/>
                <w:szCs w:val="20"/>
              </w:rPr>
            </w:pPr>
            <w:r w:rsidRPr="00407894">
              <w:rPr>
                <w:rFonts w:ascii="Aptos Narrow" w:hAnsi="Aptos Narrow"/>
                <w:color w:val="000000"/>
                <w:sz w:val="20"/>
                <w:szCs w:val="20"/>
              </w:rPr>
              <w:lastRenderedPageBreak/>
              <w:t xml:space="preserve">Navigating the dual roles of the collateral ombuds: a </w:t>
            </w:r>
            <w:r w:rsidRPr="00407894">
              <w:rPr>
                <w:rFonts w:ascii="Aptos Narrow" w:hAnsi="Aptos Narrow"/>
                <w:color w:val="000000"/>
                <w:sz w:val="20"/>
                <w:szCs w:val="20"/>
              </w:rPr>
              <w:t>duo ethnographic</w:t>
            </w:r>
            <w:r w:rsidRPr="00407894">
              <w:rPr>
                <w:rFonts w:ascii="Aptos Narrow" w:hAnsi="Aptos Narrow"/>
                <w:color w:val="000000"/>
                <w:sz w:val="20"/>
                <w:szCs w:val="20"/>
              </w:rPr>
              <w:t xml:space="preserve"> reflection by two faculty ombuds</w:t>
            </w:r>
          </w:p>
        </w:tc>
        <w:tc>
          <w:tcPr>
            <w:tcW w:w="838" w:type="dxa"/>
          </w:tcPr>
          <w:p w14:paraId="29ACBF9B" w14:textId="10541914" w:rsidR="00D96D22" w:rsidRDefault="00407894" w:rsidP="00817EA2">
            <w:r>
              <w:t>.25</w:t>
            </w:r>
          </w:p>
        </w:tc>
        <w:tc>
          <w:tcPr>
            <w:tcW w:w="1057" w:type="dxa"/>
          </w:tcPr>
          <w:p w14:paraId="633F6191" w14:textId="77777777" w:rsidR="00D96D22" w:rsidRDefault="00D96D22" w:rsidP="00817EA2"/>
        </w:tc>
      </w:tr>
      <w:tr w:rsidR="00D96D22" w14:paraId="733BD016" w14:textId="77777777" w:rsidTr="00D96D22">
        <w:tc>
          <w:tcPr>
            <w:tcW w:w="8815" w:type="dxa"/>
          </w:tcPr>
          <w:p w14:paraId="3907B5F2" w14:textId="4DB787F8" w:rsidR="00D96D22" w:rsidRPr="00407894" w:rsidRDefault="00407894" w:rsidP="00817EA2">
            <w:pPr>
              <w:rPr>
                <w:rFonts w:ascii="Aptos Narrow" w:hAnsi="Aptos Narrow"/>
                <w:color w:val="000000"/>
                <w:sz w:val="20"/>
                <w:szCs w:val="20"/>
              </w:rPr>
            </w:pPr>
            <w:r w:rsidRPr="00407894">
              <w:rPr>
                <w:rFonts w:ascii="Aptos Narrow" w:hAnsi="Aptos Narrow"/>
                <w:color w:val="000000"/>
                <w:sz w:val="20"/>
                <w:szCs w:val="20"/>
              </w:rPr>
              <w:t>Assessing Org</w:t>
            </w:r>
            <w:r w:rsidR="00A67309">
              <w:rPr>
                <w:rFonts w:ascii="Aptos Narrow" w:hAnsi="Aptos Narrow"/>
                <w:color w:val="000000"/>
                <w:sz w:val="20"/>
                <w:szCs w:val="20"/>
              </w:rPr>
              <w:t>anizational</w:t>
            </w:r>
            <w:r w:rsidRPr="00407894">
              <w:rPr>
                <w:rFonts w:ascii="Aptos Narrow" w:hAnsi="Aptos Narrow"/>
                <w:color w:val="000000"/>
                <w:sz w:val="20"/>
                <w:szCs w:val="20"/>
              </w:rPr>
              <w:t xml:space="preserve"> Readiness for an Ombuds Office</w:t>
            </w:r>
          </w:p>
        </w:tc>
        <w:tc>
          <w:tcPr>
            <w:tcW w:w="838" w:type="dxa"/>
          </w:tcPr>
          <w:p w14:paraId="77DBD77B" w14:textId="1F001916" w:rsidR="00D96D22" w:rsidRDefault="00407894" w:rsidP="00817EA2">
            <w:r>
              <w:t>.25</w:t>
            </w:r>
          </w:p>
        </w:tc>
        <w:tc>
          <w:tcPr>
            <w:tcW w:w="1057" w:type="dxa"/>
          </w:tcPr>
          <w:p w14:paraId="47E69054" w14:textId="77777777" w:rsidR="00D96D22" w:rsidRDefault="00D96D22" w:rsidP="00817EA2"/>
        </w:tc>
      </w:tr>
      <w:tr w:rsidR="00667110" w14:paraId="6DC5FCF5" w14:textId="77777777" w:rsidTr="00667110">
        <w:tc>
          <w:tcPr>
            <w:tcW w:w="8815" w:type="dxa"/>
            <w:shd w:val="clear" w:color="auto" w:fill="D9D9D9" w:themeFill="background1" w:themeFillShade="D9"/>
          </w:tcPr>
          <w:p w14:paraId="172DB845" w14:textId="74549BC6" w:rsidR="00667110" w:rsidRPr="00667110" w:rsidRDefault="00667110" w:rsidP="00817EA2">
            <w:pPr>
              <w:rPr>
                <w:b/>
                <w:bCs/>
              </w:rPr>
            </w:pPr>
            <w:r w:rsidRPr="00667110">
              <w:rPr>
                <w:b/>
                <w:bCs/>
              </w:rPr>
              <w:t>Session Block 3</w:t>
            </w:r>
          </w:p>
        </w:tc>
        <w:tc>
          <w:tcPr>
            <w:tcW w:w="838" w:type="dxa"/>
            <w:shd w:val="clear" w:color="auto" w:fill="D9D9D9" w:themeFill="background1" w:themeFillShade="D9"/>
          </w:tcPr>
          <w:p w14:paraId="5002FC9E" w14:textId="77777777" w:rsidR="00667110" w:rsidRDefault="00667110" w:rsidP="00817EA2"/>
        </w:tc>
        <w:tc>
          <w:tcPr>
            <w:tcW w:w="1057" w:type="dxa"/>
            <w:shd w:val="clear" w:color="auto" w:fill="D9D9D9" w:themeFill="background1" w:themeFillShade="D9"/>
          </w:tcPr>
          <w:p w14:paraId="1DA2132A" w14:textId="77777777" w:rsidR="00667110" w:rsidRDefault="00667110" w:rsidP="00817EA2"/>
        </w:tc>
      </w:tr>
      <w:tr w:rsidR="00815C60" w14:paraId="05964E89" w14:textId="77777777" w:rsidTr="00667110">
        <w:tc>
          <w:tcPr>
            <w:tcW w:w="8815" w:type="dxa"/>
            <w:shd w:val="clear" w:color="auto" w:fill="FFFFFF" w:themeFill="background1"/>
          </w:tcPr>
          <w:p w14:paraId="7C4145C2" w14:textId="005654CA" w:rsidR="00815C60" w:rsidRPr="00407894" w:rsidRDefault="00815C60" w:rsidP="00815C60">
            <w:pPr>
              <w:rPr>
                <w:rFonts w:ascii="Arial" w:hAnsi="Arial" w:cs="Arial"/>
                <w:color w:val="000000"/>
              </w:rPr>
            </w:pPr>
            <w:r w:rsidRPr="00407894">
              <w:rPr>
                <w:b/>
                <w:bCs/>
              </w:rPr>
              <w:t>3A</w:t>
            </w:r>
            <w:r>
              <w:rPr>
                <w:rFonts w:ascii="Arial" w:hAnsi="Arial" w:cs="Arial"/>
                <w:b/>
                <w:bCs/>
                <w:color w:val="000000"/>
              </w:rPr>
              <w:t xml:space="preserve"> </w:t>
            </w:r>
            <w:proofErr w:type="spellStart"/>
            <w:r w:rsidRPr="00407894">
              <w:rPr>
                <w:rFonts w:cstheme="minorHAnsi"/>
              </w:rPr>
              <w:t>Ombudsing</w:t>
            </w:r>
            <w:proofErr w:type="spellEnd"/>
            <w:r w:rsidRPr="00407894">
              <w:rPr>
                <w:rFonts w:cstheme="minorHAnsi"/>
              </w:rPr>
              <w:t xml:space="preserve"> in Complex Environments</w:t>
            </w:r>
          </w:p>
        </w:tc>
        <w:tc>
          <w:tcPr>
            <w:tcW w:w="838" w:type="dxa"/>
            <w:shd w:val="clear" w:color="auto" w:fill="FFFFFF" w:themeFill="background1"/>
          </w:tcPr>
          <w:p w14:paraId="6F1E0C39" w14:textId="20547F42" w:rsidR="00815C60" w:rsidRDefault="00815C60" w:rsidP="00815C60">
            <w:r w:rsidRPr="00CD34D0">
              <w:rPr>
                <w:rFonts w:cstheme="minorHAnsi"/>
              </w:rPr>
              <w:t>.75</w:t>
            </w:r>
          </w:p>
        </w:tc>
        <w:tc>
          <w:tcPr>
            <w:tcW w:w="1057" w:type="dxa"/>
            <w:shd w:val="clear" w:color="auto" w:fill="FFFFFF" w:themeFill="background1"/>
          </w:tcPr>
          <w:p w14:paraId="6EC7E482" w14:textId="77777777" w:rsidR="00815C60" w:rsidRDefault="00815C60" w:rsidP="00815C60"/>
        </w:tc>
      </w:tr>
      <w:tr w:rsidR="00815C60" w14:paraId="4DC7E4D9" w14:textId="77777777" w:rsidTr="00D96D22">
        <w:tc>
          <w:tcPr>
            <w:tcW w:w="8815" w:type="dxa"/>
          </w:tcPr>
          <w:p w14:paraId="091F00A3" w14:textId="11F9BD48" w:rsidR="00815C60" w:rsidRPr="00407894" w:rsidRDefault="00815C60" w:rsidP="00815C60">
            <w:pPr>
              <w:rPr>
                <w:rFonts w:ascii="Arial" w:hAnsi="Arial" w:cs="Arial"/>
                <w:color w:val="000000"/>
              </w:rPr>
            </w:pPr>
            <w:r w:rsidRPr="000E3321">
              <w:rPr>
                <w:b/>
                <w:bCs/>
              </w:rPr>
              <w:t>3B</w:t>
            </w:r>
            <w:r>
              <w:t xml:space="preserve"> </w:t>
            </w:r>
            <w:r w:rsidRPr="00407894">
              <w:rPr>
                <w:rFonts w:cstheme="minorHAnsi"/>
              </w:rPr>
              <w:t>Moving into the Ombuds Role: Strategies for Entering into and Advancing in the Profession</w:t>
            </w:r>
          </w:p>
        </w:tc>
        <w:tc>
          <w:tcPr>
            <w:tcW w:w="838" w:type="dxa"/>
            <w:shd w:val="clear" w:color="auto" w:fill="FFFFFF" w:themeFill="background1"/>
          </w:tcPr>
          <w:p w14:paraId="056820B2" w14:textId="55475E3D" w:rsidR="00815C60" w:rsidRDefault="00815C60" w:rsidP="00815C60">
            <w:r w:rsidRPr="00CD34D0">
              <w:rPr>
                <w:rFonts w:cstheme="minorHAnsi"/>
              </w:rPr>
              <w:t>.75</w:t>
            </w:r>
          </w:p>
        </w:tc>
        <w:tc>
          <w:tcPr>
            <w:tcW w:w="1057" w:type="dxa"/>
            <w:shd w:val="clear" w:color="auto" w:fill="FFFFFF" w:themeFill="background1"/>
          </w:tcPr>
          <w:p w14:paraId="06BAF7FA" w14:textId="77777777" w:rsidR="00815C60" w:rsidRDefault="00815C60" w:rsidP="00815C60"/>
        </w:tc>
      </w:tr>
      <w:tr w:rsidR="00815C60" w14:paraId="039E5F2A" w14:textId="77777777" w:rsidTr="00667110">
        <w:tc>
          <w:tcPr>
            <w:tcW w:w="8815" w:type="dxa"/>
            <w:shd w:val="clear" w:color="auto" w:fill="FFFFFF" w:themeFill="background1"/>
          </w:tcPr>
          <w:p w14:paraId="5EFCC95D" w14:textId="2053241C" w:rsidR="00815C60" w:rsidRPr="00407894" w:rsidRDefault="00815C60" w:rsidP="00815C60">
            <w:pPr>
              <w:rPr>
                <w:rFonts w:ascii="Arial" w:hAnsi="Arial" w:cs="Arial"/>
                <w:color w:val="000000"/>
              </w:rPr>
            </w:pPr>
            <w:r w:rsidRPr="000E3321">
              <w:rPr>
                <w:b/>
                <w:bCs/>
              </w:rPr>
              <w:t>3C</w:t>
            </w:r>
            <w:r>
              <w:t xml:space="preserve"> </w:t>
            </w:r>
            <w:r w:rsidRPr="00407894">
              <w:rPr>
                <w:rFonts w:cstheme="minorHAnsi"/>
              </w:rPr>
              <w:t>"Trust-Mapping" -- Using Conflict Mapping in Trust-Centric Conflict Coaching</w:t>
            </w:r>
          </w:p>
        </w:tc>
        <w:tc>
          <w:tcPr>
            <w:tcW w:w="838" w:type="dxa"/>
            <w:shd w:val="clear" w:color="auto" w:fill="FFFFFF" w:themeFill="background1"/>
          </w:tcPr>
          <w:p w14:paraId="22C5D7C4" w14:textId="7DD95DE9" w:rsidR="00815C60" w:rsidRDefault="00815C60" w:rsidP="00815C60">
            <w:r w:rsidRPr="00CD34D0">
              <w:rPr>
                <w:rFonts w:cstheme="minorHAnsi"/>
              </w:rPr>
              <w:t>.75</w:t>
            </w:r>
          </w:p>
        </w:tc>
        <w:tc>
          <w:tcPr>
            <w:tcW w:w="1057" w:type="dxa"/>
            <w:shd w:val="clear" w:color="auto" w:fill="FFFFFF" w:themeFill="background1"/>
          </w:tcPr>
          <w:p w14:paraId="1AF35206" w14:textId="77777777" w:rsidR="00815C60" w:rsidRDefault="00815C60" w:rsidP="00815C60"/>
        </w:tc>
      </w:tr>
      <w:tr w:rsidR="00815C60" w14:paraId="78323CC7" w14:textId="77777777" w:rsidTr="00667110">
        <w:tc>
          <w:tcPr>
            <w:tcW w:w="8815" w:type="dxa"/>
            <w:shd w:val="clear" w:color="auto" w:fill="FFFFFF" w:themeFill="background1"/>
          </w:tcPr>
          <w:p w14:paraId="64DD3861" w14:textId="0BAEF71E" w:rsidR="00815C60" w:rsidRPr="00407894" w:rsidRDefault="00815C60" w:rsidP="00815C60">
            <w:pPr>
              <w:rPr>
                <w:rFonts w:ascii="Arial" w:hAnsi="Arial" w:cs="Arial"/>
                <w:color w:val="000000"/>
              </w:rPr>
            </w:pPr>
            <w:r w:rsidRPr="000E3321">
              <w:rPr>
                <w:b/>
                <w:bCs/>
              </w:rPr>
              <w:t>3D</w:t>
            </w:r>
            <w:r>
              <w:t xml:space="preserve"> </w:t>
            </w:r>
            <w:r w:rsidRPr="00407894">
              <w:rPr>
                <w:rFonts w:cstheme="minorHAnsi"/>
              </w:rPr>
              <w:t>Explaining Ombuds with Theory</w:t>
            </w:r>
          </w:p>
        </w:tc>
        <w:tc>
          <w:tcPr>
            <w:tcW w:w="838" w:type="dxa"/>
            <w:shd w:val="clear" w:color="auto" w:fill="FFFFFF" w:themeFill="background1"/>
          </w:tcPr>
          <w:p w14:paraId="15C8DB26" w14:textId="4203BBD7" w:rsidR="00815C60" w:rsidRDefault="00815C60" w:rsidP="00815C60">
            <w:r w:rsidRPr="00CD34D0">
              <w:rPr>
                <w:rFonts w:cstheme="minorHAnsi"/>
              </w:rPr>
              <w:t>.75</w:t>
            </w:r>
          </w:p>
        </w:tc>
        <w:tc>
          <w:tcPr>
            <w:tcW w:w="1057" w:type="dxa"/>
            <w:shd w:val="clear" w:color="auto" w:fill="FFFFFF" w:themeFill="background1"/>
          </w:tcPr>
          <w:p w14:paraId="558C0896" w14:textId="77777777" w:rsidR="00815C60" w:rsidRDefault="00815C60" w:rsidP="00815C60"/>
        </w:tc>
      </w:tr>
      <w:tr w:rsidR="00815C60" w14:paraId="53F0039E" w14:textId="77777777" w:rsidTr="00667110">
        <w:tc>
          <w:tcPr>
            <w:tcW w:w="8815" w:type="dxa"/>
            <w:shd w:val="clear" w:color="auto" w:fill="FFFFFF" w:themeFill="background1"/>
          </w:tcPr>
          <w:p w14:paraId="41A29FD3" w14:textId="3C087023" w:rsidR="00815C60" w:rsidRPr="00407894" w:rsidRDefault="00815C60" w:rsidP="00815C60">
            <w:pPr>
              <w:rPr>
                <w:rFonts w:ascii="Arial" w:hAnsi="Arial" w:cs="Arial"/>
                <w:color w:val="000000"/>
              </w:rPr>
            </w:pPr>
            <w:r w:rsidRPr="000E3321">
              <w:rPr>
                <w:b/>
                <w:bCs/>
              </w:rPr>
              <w:t>3E</w:t>
            </w:r>
            <w:r>
              <w:t xml:space="preserve"> </w:t>
            </w:r>
            <w:r w:rsidRPr="00407894">
              <w:rPr>
                <w:rFonts w:cstheme="minorHAnsi"/>
              </w:rPr>
              <w:t>From Raw Data to Real Value</w:t>
            </w:r>
          </w:p>
        </w:tc>
        <w:tc>
          <w:tcPr>
            <w:tcW w:w="838" w:type="dxa"/>
            <w:shd w:val="clear" w:color="auto" w:fill="FFFFFF" w:themeFill="background1"/>
          </w:tcPr>
          <w:p w14:paraId="16DA2AA3" w14:textId="47D66148" w:rsidR="00815C60" w:rsidRDefault="00815C60" w:rsidP="00815C60">
            <w:r w:rsidRPr="00CD34D0">
              <w:rPr>
                <w:rFonts w:cstheme="minorHAnsi"/>
              </w:rPr>
              <w:t>.75</w:t>
            </w:r>
          </w:p>
        </w:tc>
        <w:tc>
          <w:tcPr>
            <w:tcW w:w="1057" w:type="dxa"/>
            <w:shd w:val="clear" w:color="auto" w:fill="FFFFFF" w:themeFill="background1"/>
          </w:tcPr>
          <w:p w14:paraId="4AA26B02" w14:textId="77777777" w:rsidR="00815C60" w:rsidRDefault="00815C60" w:rsidP="00815C60"/>
        </w:tc>
      </w:tr>
      <w:tr w:rsidR="00815C60" w14:paraId="4639CD80" w14:textId="77777777" w:rsidTr="00667110">
        <w:tc>
          <w:tcPr>
            <w:tcW w:w="8815" w:type="dxa"/>
            <w:shd w:val="clear" w:color="auto" w:fill="FFFFFF" w:themeFill="background1"/>
          </w:tcPr>
          <w:p w14:paraId="2BFC9EDA" w14:textId="46055379" w:rsidR="00815C60" w:rsidRPr="00407894" w:rsidRDefault="00815C60" w:rsidP="00815C60">
            <w:pPr>
              <w:rPr>
                <w:rFonts w:ascii="Arial" w:hAnsi="Arial" w:cs="Arial"/>
                <w:color w:val="000000"/>
              </w:rPr>
            </w:pPr>
            <w:r>
              <w:rPr>
                <w:rFonts w:cstheme="minorHAnsi"/>
                <w:b/>
                <w:bCs/>
              </w:rPr>
              <w:t>3F</w:t>
            </w:r>
            <w:r w:rsidRPr="00407894">
              <w:rPr>
                <w:rFonts w:cstheme="minorHAnsi"/>
              </w:rPr>
              <w:t xml:space="preserve"> P</w:t>
            </w:r>
            <w:r w:rsidRPr="00407894">
              <w:rPr>
                <w:rFonts w:cstheme="minorHAnsi"/>
              </w:rPr>
              <w:t>ractice</w:t>
            </w:r>
            <w:r w:rsidR="00A67309">
              <w:rPr>
                <w:rFonts w:cstheme="minorHAnsi"/>
              </w:rPr>
              <w:t xml:space="preserve"> Session</w:t>
            </w:r>
          </w:p>
        </w:tc>
        <w:tc>
          <w:tcPr>
            <w:tcW w:w="838" w:type="dxa"/>
            <w:shd w:val="clear" w:color="auto" w:fill="FFFFFF" w:themeFill="background1"/>
          </w:tcPr>
          <w:p w14:paraId="1566CA72" w14:textId="019F802A" w:rsidR="00815C60" w:rsidRDefault="00815C60" w:rsidP="00815C60">
            <w:r w:rsidRPr="00CD34D0">
              <w:rPr>
                <w:rFonts w:cstheme="minorHAnsi"/>
              </w:rPr>
              <w:t>.75</w:t>
            </w:r>
          </w:p>
        </w:tc>
        <w:tc>
          <w:tcPr>
            <w:tcW w:w="1057" w:type="dxa"/>
            <w:shd w:val="clear" w:color="auto" w:fill="FFFFFF" w:themeFill="background1"/>
          </w:tcPr>
          <w:p w14:paraId="23712233" w14:textId="77777777" w:rsidR="00815C60" w:rsidRDefault="00815C60" w:rsidP="00815C60"/>
        </w:tc>
      </w:tr>
      <w:tr w:rsidR="00407894" w14:paraId="31D81A19" w14:textId="77777777" w:rsidTr="00815C60">
        <w:tc>
          <w:tcPr>
            <w:tcW w:w="8815" w:type="dxa"/>
            <w:shd w:val="clear" w:color="auto" w:fill="002060"/>
          </w:tcPr>
          <w:p w14:paraId="4D473B8D" w14:textId="1AE20063" w:rsidR="00407894" w:rsidRPr="00815C60" w:rsidRDefault="00815C60" w:rsidP="00817EA2">
            <w:pPr>
              <w:rPr>
                <w:b/>
                <w:bCs/>
                <w:sz w:val="32"/>
                <w:szCs w:val="32"/>
              </w:rPr>
            </w:pPr>
            <w:r w:rsidRPr="00815C60">
              <w:rPr>
                <w:b/>
                <w:bCs/>
                <w:sz w:val="32"/>
                <w:szCs w:val="32"/>
              </w:rPr>
              <w:t>DAY TWO | 14 April 2026</w:t>
            </w:r>
          </w:p>
        </w:tc>
        <w:tc>
          <w:tcPr>
            <w:tcW w:w="838" w:type="dxa"/>
            <w:shd w:val="clear" w:color="auto" w:fill="002060"/>
          </w:tcPr>
          <w:p w14:paraId="40C47334" w14:textId="77777777" w:rsidR="00407894" w:rsidRPr="00815C60" w:rsidRDefault="00407894" w:rsidP="00817EA2">
            <w:pPr>
              <w:rPr>
                <w:b/>
                <w:bCs/>
                <w:sz w:val="32"/>
                <w:szCs w:val="32"/>
              </w:rPr>
            </w:pPr>
          </w:p>
        </w:tc>
        <w:tc>
          <w:tcPr>
            <w:tcW w:w="1057" w:type="dxa"/>
            <w:shd w:val="clear" w:color="auto" w:fill="002060"/>
          </w:tcPr>
          <w:p w14:paraId="4B8469B5" w14:textId="77777777" w:rsidR="00407894" w:rsidRPr="00815C60" w:rsidRDefault="00407894" w:rsidP="00817EA2">
            <w:pPr>
              <w:rPr>
                <w:b/>
                <w:bCs/>
                <w:sz w:val="32"/>
                <w:szCs w:val="32"/>
              </w:rPr>
            </w:pPr>
          </w:p>
        </w:tc>
      </w:tr>
      <w:tr w:rsidR="00A67309" w14:paraId="47ED0218" w14:textId="77777777" w:rsidTr="00A67309">
        <w:tc>
          <w:tcPr>
            <w:tcW w:w="8815" w:type="dxa"/>
          </w:tcPr>
          <w:p w14:paraId="03D5B3BF" w14:textId="64CB4F64" w:rsidR="00A67309" w:rsidRPr="00B44A0C" w:rsidRDefault="00A67309" w:rsidP="00817EA2">
            <w:pPr>
              <w:rPr>
                <w:b/>
                <w:bCs/>
                <w:color w:val="000000" w:themeColor="text1"/>
              </w:rPr>
            </w:pPr>
            <w:r w:rsidRPr="00142088">
              <w:rPr>
                <w:b/>
                <w:bCs/>
              </w:rPr>
              <w:t>KEYNOTE</w:t>
            </w:r>
            <w:r>
              <w:rPr>
                <w:b/>
                <w:bCs/>
              </w:rPr>
              <w:t xml:space="preserve"> Session: </w:t>
            </w:r>
            <w:r w:rsidRPr="00815C60">
              <w:t>Leaving the Sandbox - Building a Definition Across Models of What It Means to be an Ombuds</w:t>
            </w:r>
          </w:p>
        </w:tc>
        <w:tc>
          <w:tcPr>
            <w:tcW w:w="838" w:type="dxa"/>
          </w:tcPr>
          <w:p w14:paraId="385D51D9" w14:textId="0DC46ADA" w:rsidR="00A67309" w:rsidRPr="00B44A0C" w:rsidRDefault="00A67309" w:rsidP="00817EA2">
            <w:pPr>
              <w:rPr>
                <w:color w:val="000000" w:themeColor="text1"/>
              </w:rPr>
            </w:pPr>
            <w:r>
              <w:rPr>
                <w:color w:val="000000" w:themeColor="text1"/>
              </w:rPr>
              <w:t>1.0</w:t>
            </w:r>
          </w:p>
        </w:tc>
        <w:tc>
          <w:tcPr>
            <w:tcW w:w="1057" w:type="dxa"/>
          </w:tcPr>
          <w:p w14:paraId="6F19B2CB" w14:textId="77777777" w:rsidR="00A67309" w:rsidRPr="00B44A0C" w:rsidRDefault="00A67309" w:rsidP="00817EA2">
            <w:pPr>
              <w:rPr>
                <w:color w:val="000000" w:themeColor="text1"/>
              </w:rPr>
            </w:pPr>
          </w:p>
        </w:tc>
      </w:tr>
      <w:tr w:rsidR="00B44A0C" w14:paraId="251CE4A9" w14:textId="77777777" w:rsidTr="00B44A0C">
        <w:tc>
          <w:tcPr>
            <w:tcW w:w="8815" w:type="dxa"/>
            <w:shd w:val="clear" w:color="auto" w:fill="D9D9D9" w:themeFill="background1" w:themeFillShade="D9"/>
          </w:tcPr>
          <w:p w14:paraId="3FF9F8F4" w14:textId="75D2850C" w:rsidR="00B44A0C" w:rsidRPr="00B44A0C" w:rsidRDefault="00B44A0C" w:rsidP="00817EA2">
            <w:pPr>
              <w:rPr>
                <w:b/>
                <w:bCs/>
                <w:color w:val="000000" w:themeColor="text1"/>
              </w:rPr>
            </w:pPr>
            <w:r w:rsidRPr="00B44A0C">
              <w:rPr>
                <w:b/>
                <w:bCs/>
                <w:color w:val="000000" w:themeColor="text1"/>
              </w:rPr>
              <w:t>Session Block 4</w:t>
            </w:r>
          </w:p>
        </w:tc>
        <w:tc>
          <w:tcPr>
            <w:tcW w:w="838" w:type="dxa"/>
            <w:shd w:val="clear" w:color="auto" w:fill="D9D9D9" w:themeFill="background1" w:themeFillShade="D9"/>
          </w:tcPr>
          <w:p w14:paraId="73D07A29" w14:textId="77777777" w:rsidR="00B44A0C" w:rsidRPr="00B44A0C" w:rsidRDefault="00B44A0C" w:rsidP="00817EA2">
            <w:pPr>
              <w:rPr>
                <w:color w:val="000000" w:themeColor="text1"/>
              </w:rPr>
            </w:pPr>
          </w:p>
        </w:tc>
        <w:tc>
          <w:tcPr>
            <w:tcW w:w="1057" w:type="dxa"/>
            <w:shd w:val="clear" w:color="auto" w:fill="D9D9D9" w:themeFill="background1" w:themeFillShade="D9"/>
          </w:tcPr>
          <w:p w14:paraId="1FEB68B7" w14:textId="77777777" w:rsidR="00B44A0C" w:rsidRPr="00B44A0C" w:rsidRDefault="00B44A0C" w:rsidP="00817EA2">
            <w:pPr>
              <w:rPr>
                <w:color w:val="000000" w:themeColor="text1"/>
              </w:rPr>
            </w:pPr>
          </w:p>
        </w:tc>
      </w:tr>
      <w:tr w:rsidR="00815C60" w14:paraId="23095951" w14:textId="77777777" w:rsidTr="00A24629">
        <w:trPr>
          <w:trHeight w:val="323"/>
        </w:trPr>
        <w:tc>
          <w:tcPr>
            <w:tcW w:w="8815" w:type="dxa"/>
            <w:shd w:val="clear" w:color="auto" w:fill="FFFFFF" w:themeFill="background1"/>
          </w:tcPr>
          <w:p w14:paraId="7F0D49EB" w14:textId="214DB68F" w:rsidR="00815C60" w:rsidRPr="00815C60" w:rsidRDefault="00815C60" w:rsidP="00815C60">
            <w:pPr>
              <w:rPr>
                <w:rFonts w:ascii="Arial" w:hAnsi="Arial" w:cs="Arial"/>
                <w:color w:val="000000"/>
              </w:rPr>
            </w:pPr>
            <w:r w:rsidRPr="000E3321">
              <w:rPr>
                <w:b/>
                <w:bCs/>
                <w:color w:val="000000" w:themeColor="text1"/>
              </w:rPr>
              <w:t>4A</w:t>
            </w:r>
            <w:r>
              <w:rPr>
                <w:color w:val="000000" w:themeColor="text1"/>
              </w:rPr>
              <w:t xml:space="preserve"> </w:t>
            </w:r>
            <w:r w:rsidRPr="00815C60">
              <w:rPr>
                <w:rFonts w:cstheme="minorHAnsi"/>
              </w:rPr>
              <w:t>Leveraging Educational Partnerships as a Strategy for Building Organizational Effectiveness</w:t>
            </w:r>
          </w:p>
        </w:tc>
        <w:tc>
          <w:tcPr>
            <w:tcW w:w="838" w:type="dxa"/>
            <w:shd w:val="clear" w:color="auto" w:fill="FFFFFF" w:themeFill="background1"/>
          </w:tcPr>
          <w:p w14:paraId="3BD9B023" w14:textId="6A887D66" w:rsidR="00815C60" w:rsidRPr="00B44A0C" w:rsidRDefault="00815C60" w:rsidP="00815C60">
            <w:pPr>
              <w:rPr>
                <w:color w:val="000000" w:themeColor="text1"/>
              </w:rPr>
            </w:pPr>
            <w:r w:rsidRPr="00F40B6F">
              <w:rPr>
                <w:rFonts w:cstheme="minorHAnsi"/>
              </w:rPr>
              <w:t>.75</w:t>
            </w:r>
          </w:p>
        </w:tc>
        <w:tc>
          <w:tcPr>
            <w:tcW w:w="1057" w:type="dxa"/>
            <w:shd w:val="clear" w:color="auto" w:fill="FFFFFF" w:themeFill="background1"/>
          </w:tcPr>
          <w:p w14:paraId="2946FA9E" w14:textId="77777777" w:rsidR="00815C60" w:rsidRPr="00B44A0C" w:rsidRDefault="00815C60" w:rsidP="00815C60">
            <w:pPr>
              <w:rPr>
                <w:color w:val="000000" w:themeColor="text1"/>
              </w:rPr>
            </w:pPr>
          </w:p>
        </w:tc>
      </w:tr>
      <w:tr w:rsidR="00815C60" w14:paraId="65E26D4F" w14:textId="77777777" w:rsidTr="00D96D22">
        <w:tc>
          <w:tcPr>
            <w:tcW w:w="8815" w:type="dxa"/>
          </w:tcPr>
          <w:p w14:paraId="0A6D154F" w14:textId="0E710807" w:rsidR="00815C60" w:rsidRPr="00815C60" w:rsidRDefault="00815C60" w:rsidP="00815C60">
            <w:pPr>
              <w:rPr>
                <w:rFonts w:cstheme="minorHAnsi"/>
              </w:rPr>
            </w:pPr>
            <w:r w:rsidRPr="000E3321">
              <w:rPr>
                <w:b/>
                <w:bCs/>
                <w:color w:val="000000" w:themeColor="text1"/>
              </w:rPr>
              <w:t>4B</w:t>
            </w:r>
            <w:r>
              <w:rPr>
                <w:color w:val="000000" w:themeColor="text1"/>
              </w:rPr>
              <w:t xml:space="preserve"> </w:t>
            </w:r>
            <w:r w:rsidRPr="00815C60">
              <w:rPr>
                <w:rFonts w:cstheme="minorHAnsi"/>
              </w:rPr>
              <w:t>Our First Chapters: Stories of Learning, Adapting, and Leading as New Ombuds</w:t>
            </w:r>
          </w:p>
        </w:tc>
        <w:tc>
          <w:tcPr>
            <w:tcW w:w="838" w:type="dxa"/>
            <w:shd w:val="clear" w:color="auto" w:fill="FFFFFF" w:themeFill="background1"/>
          </w:tcPr>
          <w:p w14:paraId="15D73D9C" w14:textId="4F67D088" w:rsidR="00815C60" w:rsidRPr="00B44A0C" w:rsidRDefault="00815C60" w:rsidP="00815C60">
            <w:pPr>
              <w:rPr>
                <w:color w:val="000000" w:themeColor="text1"/>
              </w:rPr>
            </w:pPr>
            <w:r w:rsidRPr="00F40B6F">
              <w:rPr>
                <w:rFonts w:cstheme="minorHAnsi"/>
              </w:rPr>
              <w:t>.75</w:t>
            </w:r>
          </w:p>
        </w:tc>
        <w:tc>
          <w:tcPr>
            <w:tcW w:w="1057" w:type="dxa"/>
            <w:shd w:val="clear" w:color="auto" w:fill="FFFFFF" w:themeFill="background1"/>
          </w:tcPr>
          <w:p w14:paraId="7D634F34" w14:textId="77777777" w:rsidR="00815C60" w:rsidRPr="00B44A0C" w:rsidRDefault="00815C60" w:rsidP="00815C60">
            <w:pPr>
              <w:rPr>
                <w:color w:val="000000" w:themeColor="text1"/>
              </w:rPr>
            </w:pPr>
          </w:p>
        </w:tc>
      </w:tr>
      <w:tr w:rsidR="00815C60" w14:paraId="355F3B14" w14:textId="77777777" w:rsidTr="00B44A0C">
        <w:tc>
          <w:tcPr>
            <w:tcW w:w="8815" w:type="dxa"/>
            <w:shd w:val="clear" w:color="auto" w:fill="FFFFFF" w:themeFill="background1"/>
          </w:tcPr>
          <w:p w14:paraId="0901F10A" w14:textId="4F111726" w:rsidR="00815C60" w:rsidRPr="00815C60" w:rsidRDefault="00815C60" w:rsidP="00815C60">
            <w:pPr>
              <w:rPr>
                <w:rFonts w:cstheme="minorHAnsi"/>
              </w:rPr>
            </w:pPr>
            <w:r w:rsidRPr="000E3321">
              <w:rPr>
                <w:b/>
                <w:bCs/>
                <w:color w:val="000000" w:themeColor="text1"/>
              </w:rPr>
              <w:t>4C</w:t>
            </w:r>
            <w:r>
              <w:rPr>
                <w:b/>
                <w:bCs/>
                <w:color w:val="000000" w:themeColor="text1"/>
              </w:rPr>
              <w:t xml:space="preserve"> </w:t>
            </w:r>
            <w:r w:rsidRPr="00815C60">
              <w:rPr>
                <w:rFonts w:cstheme="minorHAnsi"/>
              </w:rPr>
              <w:t>Be the Change You Want to See: Facilitating Self-Agency with our Visitors</w:t>
            </w:r>
          </w:p>
        </w:tc>
        <w:tc>
          <w:tcPr>
            <w:tcW w:w="838" w:type="dxa"/>
            <w:shd w:val="clear" w:color="auto" w:fill="FFFFFF" w:themeFill="background1"/>
          </w:tcPr>
          <w:p w14:paraId="2A88BFF6" w14:textId="1566DA3F" w:rsidR="00815C60" w:rsidRPr="00B44A0C" w:rsidRDefault="00815C60" w:rsidP="00815C60">
            <w:pPr>
              <w:rPr>
                <w:color w:val="000000" w:themeColor="text1"/>
              </w:rPr>
            </w:pPr>
            <w:r w:rsidRPr="00F40B6F">
              <w:rPr>
                <w:rFonts w:cstheme="minorHAnsi"/>
              </w:rPr>
              <w:t>.75</w:t>
            </w:r>
          </w:p>
        </w:tc>
        <w:tc>
          <w:tcPr>
            <w:tcW w:w="1057" w:type="dxa"/>
            <w:shd w:val="clear" w:color="auto" w:fill="FFFFFF" w:themeFill="background1"/>
          </w:tcPr>
          <w:p w14:paraId="5B39041A" w14:textId="77777777" w:rsidR="00815C60" w:rsidRPr="00B44A0C" w:rsidRDefault="00815C60" w:rsidP="00815C60">
            <w:pPr>
              <w:rPr>
                <w:color w:val="000000" w:themeColor="text1"/>
              </w:rPr>
            </w:pPr>
          </w:p>
        </w:tc>
      </w:tr>
      <w:tr w:rsidR="00815C60" w14:paraId="75C42CF2" w14:textId="77777777" w:rsidTr="00B44A0C">
        <w:tc>
          <w:tcPr>
            <w:tcW w:w="8815" w:type="dxa"/>
            <w:shd w:val="clear" w:color="auto" w:fill="FFFFFF" w:themeFill="background1"/>
          </w:tcPr>
          <w:p w14:paraId="055813C5" w14:textId="32F82307" w:rsidR="00815C60" w:rsidRPr="00815C60" w:rsidRDefault="00815C60" w:rsidP="00815C60">
            <w:pPr>
              <w:rPr>
                <w:rFonts w:cstheme="minorHAnsi"/>
              </w:rPr>
            </w:pPr>
            <w:r w:rsidRPr="000E3321">
              <w:rPr>
                <w:b/>
                <w:bCs/>
                <w:color w:val="000000" w:themeColor="text1"/>
              </w:rPr>
              <w:t>4D</w:t>
            </w:r>
            <w:r>
              <w:rPr>
                <w:color w:val="000000" w:themeColor="text1"/>
              </w:rPr>
              <w:t xml:space="preserve"> </w:t>
            </w:r>
            <w:r w:rsidRPr="00815C60">
              <w:rPr>
                <w:rFonts w:cstheme="minorHAnsi"/>
              </w:rPr>
              <w:t>Listening to Ombuds' Voices: An Interactive Discussion of Findings from a Study of Identity-Related Perceptions and Self-Care Strategies in Ombuds Work</w:t>
            </w:r>
          </w:p>
        </w:tc>
        <w:tc>
          <w:tcPr>
            <w:tcW w:w="838" w:type="dxa"/>
            <w:shd w:val="clear" w:color="auto" w:fill="FFFFFF" w:themeFill="background1"/>
          </w:tcPr>
          <w:p w14:paraId="1EFB1FBF" w14:textId="2019A979" w:rsidR="00815C60" w:rsidRPr="00B44A0C" w:rsidRDefault="00815C60" w:rsidP="00815C60">
            <w:pPr>
              <w:rPr>
                <w:color w:val="000000" w:themeColor="text1"/>
              </w:rPr>
            </w:pPr>
            <w:r w:rsidRPr="00F40B6F">
              <w:rPr>
                <w:rFonts w:cstheme="minorHAnsi"/>
              </w:rPr>
              <w:t>.75</w:t>
            </w:r>
          </w:p>
        </w:tc>
        <w:tc>
          <w:tcPr>
            <w:tcW w:w="1057" w:type="dxa"/>
            <w:shd w:val="clear" w:color="auto" w:fill="FFFFFF" w:themeFill="background1"/>
          </w:tcPr>
          <w:p w14:paraId="22FD9830" w14:textId="77777777" w:rsidR="00815C60" w:rsidRPr="00B44A0C" w:rsidRDefault="00815C60" w:rsidP="00815C60">
            <w:pPr>
              <w:rPr>
                <w:color w:val="000000" w:themeColor="text1"/>
              </w:rPr>
            </w:pPr>
          </w:p>
        </w:tc>
      </w:tr>
      <w:tr w:rsidR="00815C60" w14:paraId="5DC450F3" w14:textId="77777777" w:rsidTr="00B44A0C">
        <w:tc>
          <w:tcPr>
            <w:tcW w:w="8815" w:type="dxa"/>
            <w:shd w:val="clear" w:color="auto" w:fill="FFFFFF" w:themeFill="background1"/>
          </w:tcPr>
          <w:p w14:paraId="51DF3A9C" w14:textId="775FE2D2" w:rsidR="00815C60" w:rsidRPr="00815C60" w:rsidRDefault="00815C60" w:rsidP="00815C60">
            <w:pPr>
              <w:rPr>
                <w:rFonts w:ascii="Arial" w:hAnsi="Arial" w:cs="Arial"/>
                <w:color w:val="000000"/>
              </w:rPr>
            </w:pPr>
            <w:r w:rsidRPr="000E3321">
              <w:rPr>
                <w:b/>
                <w:bCs/>
                <w:color w:val="000000" w:themeColor="text1"/>
              </w:rPr>
              <w:t>4E</w:t>
            </w:r>
            <w:r>
              <w:rPr>
                <w:color w:val="000000" w:themeColor="text1"/>
              </w:rPr>
              <w:t xml:space="preserve"> </w:t>
            </w:r>
            <w:r w:rsidRPr="00815C60">
              <w:rPr>
                <w:rFonts w:cstheme="minorHAnsi"/>
              </w:rPr>
              <w:t>AI as Your Communications Partner: Simple Strategies to Boost Ombuds Outreach</w:t>
            </w:r>
          </w:p>
        </w:tc>
        <w:tc>
          <w:tcPr>
            <w:tcW w:w="838" w:type="dxa"/>
            <w:shd w:val="clear" w:color="auto" w:fill="FFFFFF" w:themeFill="background1"/>
          </w:tcPr>
          <w:p w14:paraId="7BD8575F" w14:textId="4A06D5E3" w:rsidR="00815C60" w:rsidRDefault="00815C60" w:rsidP="00815C60">
            <w:pPr>
              <w:rPr>
                <w:color w:val="000000" w:themeColor="text1"/>
              </w:rPr>
            </w:pPr>
            <w:r w:rsidRPr="00F40B6F">
              <w:rPr>
                <w:rFonts w:cstheme="minorHAnsi"/>
              </w:rPr>
              <w:t>.75</w:t>
            </w:r>
          </w:p>
        </w:tc>
        <w:tc>
          <w:tcPr>
            <w:tcW w:w="1057" w:type="dxa"/>
            <w:shd w:val="clear" w:color="auto" w:fill="FFFFFF" w:themeFill="background1"/>
          </w:tcPr>
          <w:p w14:paraId="359CDC83" w14:textId="77777777" w:rsidR="00815C60" w:rsidRPr="00B44A0C" w:rsidRDefault="00815C60" w:rsidP="00815C60">
            <w:pPr>
              <w:rPr>
                <w:color w:val="000000" w:themeColor="text1"/>
              </w:rPr>
            </w:pPr>
          </w:p>
        </w:tc>
      </w:tr>
      <w:tr w:rsidR="00B44A0C" w14:paraId="3D38BC74" w14:textId="77777777" w:rsidTr="00F031E4">
        <w:tc>
          <w:tcPr>
            <w:tcW w:w="8815" w:type="dxa"/>
            <w:shd w:val="clear" w:color="auto" w:fill="D9D9D9" w:themeFill="background1" w:themeFillShade="D9"/>
          </w:tcPr>
          <w:p w14:paraId="33441D40" w14:textId="11447727" w:rsidR="00B44A0C" w:rsidRPr="00F031E4" w:rsidRDefault="00B44A0C" w:rsidP="00817EA2">
            <w:pPr>
              <w:rPr>
                <w:b/>
                <w:bCs/>
                <w:color w:val="000000" w:themeColor="text1"/>
              </w:rPr>
            </w:pPr>
            <w:r w:rsidRPr="00F031E4">
              <w:rPr>
                <w:b/>
                <w:bCs/>
                <w:color w:val="000000" w:themeColor="text1"/>
              </w:rPr>
              <w:t>Session Block 5</w:t>
            </w:r>
          </w:p>
        </w:tc>
        <w:tc>
          <w:tcPr>
            <w:tcW w:w="838" w:type="dxa"/>
            <w:shd w:val="clear" w:color="auto" w:fill="D9D9D9" w:themeFill="background1" w:themeFillShade="D9"/>
          </w:tcPr>
          <w:p w14:paraId="5722E110" w14:textId="77777777" w:rsidR="00B44A0C" w:rsidRPr="00B44A0C" w:rsidRDefault="00B44A0C" w:rsidP="00817EA2">
            <w:pPr>
              <w:rPr>
                <w:color w:val="000000" w:themeColor="text1"/>
              </w:rPr>
            </w:pPr>
          </w:p>
        </w:tc>
        <w:tc>
          <w:tcPr>
            <w:tcW w:w="1057" w:type="dxa"/>
            <w:shd w:val="clear" w:color="auto" w:fill="D9D9D9" w:themeFill="background1" w:themeFillShade="D9"/>
          </w:tcPr>
          <w:p w14:paraId="70210138" w14:textId="77777777" w:rsidR="00B44A0C" w:rsidRPr="00B44A0C" w:rsidRDefault="00B44A0C" w:rsidP="00817EA2">
            <w:pPr>
              <w:rPr>
                <w:color w:val="000000" w:themeColor="text1"/>
              </w:rPr>
            </w:pPr>
          </w:p>
        </w:tc>
      </w:tr>
      <w:tr w:rsidR="00815C60" w14:paraId="6FB0FE8A" w14:textId="77777777" w:rsidTr="00F031E4">
        <w:tc>
          <w:tcPr>
            <w:tcW w:w="8815" w:type="dxa"/>
            <w:shd w:val="clear" w:color="auto" w:fill="FFFFFF" w:themeFill="background1"/>
          </w:tcPr>
          <w:p w14:paraId="22D7271D" w14:textId="11460A82" w:rsidR="00815C60" w:rsidRPr="00815C60" w:rsidRDefault="00815C60" w:rsidP="00815C60">
            <w:pPr>
              <w:rPr>
                <w:rFonts w:cstheme="minorHAnsi"/>
              </w:rPr>
            </w:pPr>
            <w:r w:rsidRPr="000E3321">
              <w:rPr>
                <w:b/>
                <w:bCs/>
                <w:color w:val="000000" w:themeColor="text1"/>
              </w:rPr>
              <w:t>5A</w:t>
            </w:r>
            <w:r w:rsidRPr="00F031E4">
              <w:rPr>
                <w:color w:val="000000" w:themeColor="text1"/>
              </w:rPr>
              <w:t xml:space="preserve"> </w:t>
            </w:r>
            <w:r w:rsidRPr="00815C60">
              <w:rPr>
                <w:rFonts w:cstheme="minorHAnsi"/>
              </w:rPr>
              <w:t>Radical Hope: Promoting Hope and Healing as Ombuds</w:t>
            </w:r>
          </w:p>
        </w:tc>
        <w:tc>
          <w:tcPr>
            <w:tcW w:w="838" w:type="dxa"/>
            <w:shd w:val="clear" w:color="auto" w:fill="FFFFFF" w:themeFill="background1"/>
          </w:tcPr>
          <w:p w14:paraId="3304361D" w14:textId="3C7FA885" w:rsidR="00815C60" w:rsidRPr="00B44A0C" w:rsidRDefault="00815C60" w:rsidP="00815C60">
            <w:pPr>
              <w:rPr>
                <w:color w:val="000000" w:themeColor="text1"/>
              </w:rPr>
            </w:pPr>
            <w:r w:rsidRPr="00134A18">
              <w:rPr>
                <w:rFonts w:cstheme="minorHAnsi"/>
              </w:rPr>
              <w:t>.75</w:t>
            </w:r>
          </w:p>
        </w:tc>
        <w:tc>
          <w:tcPr>
            <w:tcW w:w="1057" w:type="dxa"/>
            <w:shd w:val="clear" w:color="auto" w:fill="FFFFFF" w:themeFill="background1"/>
          </w:tcPr>
          <w:p w14:paraId="439CC150" w14:textId="77777777" w:rsidR="00815C60" w:rsidRPr="00B44A0C" w:rsidRDefault="00815C60" w:rsidP="00815C60">
            <w:pPr>
              <w:rPr>
                <w:color w:val="000000" w:themeColor="text1"/>
              </w:rPr>
            </w:pPr>
          </w:p>
        </w:tc>
      </w:tr>
      <w:tr w:rsidR="00815C60" w14:paraId="0EAA1D41" w14:textId="77777777" w:rsidTr="00D96D22">
        <w:tc>
          <w:tcPr>
            <w:tcW w:w="8815" w:type="dxa"/>
          </w:tcPr>
          <w:p w14:paraId="6ECB71C1" w14:textId="165CBE84" w:rsidR="00815C60" w:rsidRPr="00815C60" w:rsidRDefault="00815C60" w:rsidP="00815C60">
            <w:pPr>
              <w:rPr>
                <w:rFonts w:cstheme="minorHAnsi"/>
              </w:rPr>
            </w:pPr>
            <w:r w:rsidRPr="000E3321">
              <w:rPr>
                <w:b/>
                <w:bCs/>
                <w:color w:val="000000" w:themeColor="text1"/>
              </w:rPr>
              <w:t>5B</w:t>
            </w:r>
            <w:r>
              <w:rPr>
                <w:color w:val="000000" w:themeColor="text1"/>
              </w:rPr>
              <w:t xml:space="preserve"> </w:t>
            </w:r>
            <w:r w:rsidRPr="00815C60">
              <w:rPr>
                <w:rFonts w:cstheme="minorHAnsi"/>
              </w:rPr>
              <w:t>Coaching Skills for Ombuds: Time-Tested Tools to Help Visitors Gain Insight, Solve Problems, and Build Resilience in Conflict</w:t>
            </w:r>
          </w:p>
        </w:tc>
        <w:tc>
          <w:tcPr>
            <w:tcW w:w="838" w:type="dxa"/>
            <w:shd w:val="clear" w:color="auto" w:fill="FFFFFF" w:themeFill="background1"/>
          </w:tcPr>
          <w:p w14:paraId="0DD7FA11" w14:textId="6AC901E2" w:rsidR="00815C60" w:rsidRPr="00B44A0C" w:rsidRDefault="00815C60" w:rsidP="00815C60">
            <w:pPr>
              <w:rPr>
                <w:color w:val="000000" w:themeColor="text1"/>
              </w:rPr>
            </w:pPr>
            <w:r w:rsidRPr="00134A18">
              <w:rPr>
                <w:rFonts w:cstheme="minorHAnsi"/>
              </w:rPr>
              <w:t>.75</w:t>
            </w:r>
          </w:p>
        </w:tc>
        <w:tc>
          <w:tcPr>
            <w:tcW w:w="1057" w:type="dxa"/>
            <w:shd w:val="clear" w:color="auto" w:fill="FFFFFF" w:themeFill="background1"/>
          </w:tcPr>
          <w:p w14:paraId="31A128E1" w14:textId="77777777" w:rsidR="00815C60" w:rsidRPr="00B44A0C" w:rsidRDefault="00815C60" w:rsidP="00815C60">
            <w:pPr>
              <w:rPr>
                <w:color w:val="000000" w:themeColor="text1"/>
              </w:rPr>
            </w:pPr>
          </w:p>
        </w:tc>
      </w:tr>
      <w:tr w:rsidR="00815C60" w14:paraId="028DA20F" w14:textId="77777777" w:rsidTr="00F031E4">
        <w:tc>
          <w:tcPr>
            <w:tcW w:w="8815" w:type="dxa"/>
            <w:shd w:val="clear" w:color="auto" w:fill="FFFFFF" w:themeFill="background1"/>
          </w:tcPr>
          <w:p w14:paraId="25AB263A" w14:textId="2A59EE18" w:rsidR="00815C60" w:rsidRPr="00815C60" w:rsidRDefault="00815C60" w:rsidP="00815C60">
            <w:pPr>
              <w:rPr>
                <w:rFonts w:cstheme="minorHAnsi"/>
              </w:rPr>
            </w:pPr>
            <w:r w:rsidRPr="000E3321">
              <w:rPr>
                <w:b/>
                <w:color w:val="000000" w:themeColor="text1"/>
              </w:rPr>
              <w:t>5C</w:t>
            </w:r>
            <w:r>
              <w:rPr>
                <w:color w:val="000000" w:themeColor="text1"/>
              </w:rPr>
              <w:t xml:space="preserve"> </w:t>
            </w:r>
            <w:r w:rsidRPr="00815C60">
              <w:rPr>
                <w:rFonts w:cstheme="minorHAnsi"/>
              </w:rPr>
              <w:t>Tools for Practice: Insights from Counseling Theories for Ombuds Work</w:t>
            </w:r>
          </w:p>
        </w:tc>
        <w:tc>
          <w:tcPr>
            <w:tcW w:w="838" w:type="dxa"/>
            <w:shd w:val="clear" w:color="auto" w:fill="FFFFFF" w:themeFill="background1"/>
          </w:tcPr>
          <w:p w14:paraId="31E64222" w14:textId="691879BE" w:rsidR="00815C60" w:rsidRPr="00B44A0C" w:rsidRDefault="00815C60" w:rsidP="00815C60">
            <w:pPr>
              <w:rPr>
                <w:color w:val="000000" w:themeColor="text1"/>
              </w:rPr>
            </w:pPr>
            <w:r w:rsidRPr="00134A18">
              <w:rPr>
                <w:rFonts w:cstheme="minorHAnsi"/>
              </w:rPr>
              <w:t>.75</w:t>
            </w:r>
          </w:p>
        </w:tc>
        <w:tc>
          <w:tcPr>
            <w:tcW w:w="1057" w:type="dxa"/>
            <w:shd w:val="clear" w:color="auto" w:fill="FFFFFF" w:themeFill="background1"/>
          </w:tcPr>
          <w:p w14:paraId="6983DBA1" w14:textId="77777777" w:rsidR="00815C60" w:rsidRPr="00B44A0C" w:rsidRDefault="00815C60" w:rsidP="00815C60">
            <w:pPr>
              <w:rPr>
                <w:color w:val="000000" w:themeColor="text1"/>
              </w:rPr>
            </w:pPr>
          </w:p>
        </w:tc>
      </w:tr>
      <w:tr w:rsidR="00815C60" w14:paraId="6F457E3C" w14:textId="77777777" w:rsidTr="00F031E4">
        <w:tc>
          <w:tcPr>
            <w:tcW w:w="8815" w:type="dxa"/>
            <w:shd w:val="clear" w:color="auto" w:fill="FFFFFF" w:themeFill="background1"/>
          </w:tcPr>
          <w:p w14:paraId="00AFE55A" w14:textId="37CC6B4F" w:rsidR="00815C60" w:rsidRPr="00815C60" w:rsidRDefault="00815C60" w:rsidP="00815C60">
            <w:pPr>
              <w:rPr>
                <w:rFonts w:cstheme="minorHAnsi"/>
              </w:rPr>
            </w:pPr>
            <w:r w:rsidRPr="000E3321">
              <w:rPr>
                <w:b/>
                <w:color w:val="000000" w:themeColor="text1"/>
              </w:rPr>
              <w:t>5D</w:t>
            </w:r>
            <w:r>
              <w:rPr>
                <w:color w:val="000000" w:themeColor="text1"/>
              </w:rPr>
              <w:t xml:space="preserve"> </w:t>
            </w:r>
            <w:r w:rsidRPr="00815C60">
              <w:rPr>
                <w:rFonts w:cstheme="minorHAnsi"/>
              </w:rPr>
              <w:t>Living the Ombuds Ideals--The Four Tenets of the IOA Standards of Practice in Challenging Cases</w:t>
            </w:r>
          </w:p>
        </w:tc>
        <w:tc>
          <w:tcPr>
            <w:tcW w:w="838" w:type="dxa"/>
            <w:shd w:val="clear" w:color="auto" w:fill="FFFFFF" w:themeFill="background1"/>
          </w:tcPr>
          <w:p w14:paraId="76FE5A20" w14:textId="7CA8A440" w:rsidR="00815C60" w:rsidRPr="00B44A0C" w:rsidRDefault="00815C60" w:rsidP="00815C60">
            <w:pPr>
              <w:rPr>
                <w:color w:val="000000" w:themeColor="text1"/>
              </w:rPr>
            </w:pPr>
            <w:r w:rsidRPr="00134A18">
              <w:rPr>
                <w:rFonts w:cstheme="minorHAnsi"/>
              </w:rPr>
              <w:t>.75</w:t>
            </w:r>
          </w:p>
        </w:tc>
        <w:tc>
          <w:tcPr>
            <w:tcW w:w="1057" w:type="dxa"/>
            <w:shd w:val="clear" w:color="auto" w:fill="FFFFFF" w:themeFill="background1"/>
          </w:tcPr>
          <w:p w14:paraId="16D472D1" w14:textId="77777777" w:rsidR="00815C60" w:rsidRPr="00B44A0C" w:rsidRDefault="00815C60" w:rsidP="00815C60">
            <w:pPr>
              <w:rPr>
                <w:color w:val="000000" w:themeColor="text1"/>
              </w:rPr>
            </w:pPr>
          </w:p>
        </w:tc>
      </w:tr>
      <w:tr w:rsidR="00815C60" w14:paraId="708B028F" w14:textId="77777777" w:rsidTr="00F031E4">
        <w:tc>
          <w:tcPr>
            <w:tcW w:w="8815" w:type="dxa"/>
            <w:shd w:val="clear" w:color="auto" w:fill="FFFFFF" w:themeFill="background1"/>
          </w:tcPr>
          <w:p w14:paraId="4CF31C31" w14:textId="59B58499" w:rsidR="00815C60" w:rsidRPr="00815C60" w:rsidRDefault="00815C60" w:rsidP="00815C60">
            <w:pPr>
              <w:rPr>
                <w:rFonts w:cstheme="minorHAnsi"/>
              </w:rPr>
            </w:pPr>
            <w:r w:rsidRPr="000E3321">
              <w:rPr>
                <w:b/>
                <w:bCs/>
                <w:color w:val="000000" w:themeColor="text1"/>
              </w:rPr>
              <w:t>5E</w:t>
            </w:r>
            <w:r>
              <w:rPr>
                <w:color w:val="000000" w:themeColor="text1"/>
              </w:rPr>
              <w:t xml:space="preserve"> </w:t>
            </w:r>
            <w:r w:rsidRPr="00815C60">
              <w:rPr>
                <w:rFonts w:cstheme="minorHAnsi"/>
              </w:rPr>
              <w:t>Common Reading</w:t>
            </w:r>
          </w:p>
        </w:tc>
        <w:tc>
          <w:tcPr>
            <w:tcW w:w="838" w:type="dxa"/>
            <w:shd w:val="clear" w:color="auto" w:fill="FFFFFF" w:themeFill="background1"/>
          </w:tcPr>
          <w:p w14:paraId="258D5F11" w14:textId="07A4B0A3" w:rsidR="00815C60" w:rsidRDefault="00815C60" w:rsidP="00815C60">
            <w:pPr>
              <w:rPr>
                <w:color w:val="000000" w:themeColor="text1"/>
              </w:rPr>
            </w:pPr>
            <w:r w:rsidRPr="00134A18">
              <w:rPr>
                <w:rFonts w:cstheme="minorHAnsi"/>
              </w:rPr>
              <w:t>.75</w:t>
            </w:r>
          </w:p>
        </w:tc>
        <w:tc>
          <w:tcPr>
            <w:tcW w:w="1057" w:type="dxa"/>
            <w:shd w:val="clear" w:color="auto" w:fill="FFFFFF" w:themeFill="background1"/>
          </w:tcPr>
          <w:p w14:paraId="3B84CBCB" w14:textId="77777777" w:rsidR="00815C60" w:rsidRPr="00B44A0C" w:rsidRDefault="00815C60" w:rsidP="00815C60">
            <w:pPr>
              <w:rPr>
                <w:color w:val="000000" w:themeColor="text1"/>
              </w:rPr>
            </w:pPr>
          </w:p>
        </w:tc>
      </w:tr>
      <w:tr w:rsidR="000E3321" w14:paraId="48DC91D3" w14:textId="77777777" w:rsidTr="000E3321">
        <w:trPr>
          <w:trHeight w:val="395"/>
        </w:trPr>
        <w:tc>
          <w:tcPr>
            <w:tcW w:w="8815" w:type="dxa"/>
            <w:shd w:val="clear" w:color="auto" w:fill="FFFFFF" w:themeFill="background1"/>
          </w:tcPr>
          <w:p w14:paraId="09B10EE8" w14:textId="208205EE" w:rsidR="000E3321" w:rsidRDefault="00815C60" w:rsidP="00817EA2">
            <w:pPr>
              <w:rPr>
                <w:b/>
                <w:bCs/>
                <w:color w:val="000000" w:themeColor="text1"/>
              </w:rPr>
            </w:pPr>
            <w:r w:rsidRPr="00142088">
              <w:rPr>
                <w:b/>
                <w:bCs/>
              </w:rPr>
              <w:t>KEYNOTE</w:t>
            </w:r>
            <w:r>
              <w:rPr>
                <w:b/>
                <w:bCs/>
              </w:rPr>
              <w:t xml:space="preserve"> Session: </w:t>
            </w:r>
            <w:hyperlink r:id="rId6" w:anchor="keynote3" w:history="1">
              <w:r w:rsidR="00A67309" w:rsidRPr="00A67309">
                <w:t>Speak-Up Culture: When Leaders Truly Listen, People Step Up</w:t>
              </w:r>
            </w:hyperlink>
          </w:p>
        </w:tc>
        <w:tc>
          <w:tcPr>
            <w:tcW w:w="838" w:type="dxa"/>
            <w:shd w:val="clear" w:color="auto" w:fill="FFFFFF" w:themeFill="background1"/>
          </w:tcPr>
          <w:p w14:paraId="68959A58" w14:textId="420D8C42" w:rsidR="000E3321" w:rsidRDefault="000E3321" w:rsidP="00817EA2">
            <w:pPr>
              <w:rPr>
                <w:color w:val="000000" w:themeColor="text1"/>
              </w:rPr>
            </w:pPr>
            <w:r>
              <w:rPr>
                <w:color w:val="000000" w:themeColor="text1"/>
              </w:rPr>
              <w:t>1.0</w:t>
            </w:r>
          </w:p>
        </w:tc>
        <w:tc>
          <w:tcPr>
            <w:tcW w:w="1057" w:type="dxa"/>
            <w:shd w:val="clear" w:color="auto" w:fill="FFFFFF" w:themeFill="background1"/>
          </w:tcPr>
          <w:p w14:paraId="4E4F076C" w14:textId="77777777" w:rsidR="000E3321" w:rsidRPr="00B44A0C" w:rsidRDefault="000E3321" w:rsidP="00817EA2">
            <w:pPr>
              <w:rPr>
                <w:color w:val="000000" w:themeColor="text1"/>
              </w:rPr>
            </w:pPr>
          </w:p>
        </w:tc>
      </w:tr>
      <w:tr w:rsidR="00815C60" w14:paraId="7250277C" w14:textId="77777777" w:rsidTr="00996A46">
        <w:tc>
          <w:tcPr>
            <w:tcW w:w="8815" w:type="dxa"/>
            <w:shd w:val="clear" w:color="auto" w:fill="D9D9D9" w:themeFill="background1" w:themeFillShade="D9"/>
          </w:tcPr>
          <w:p w14:paraId="6179455A" w14:textId="2C2DAB96" w:rsidR="00815C60" w:rsidRPr="00F031E4" w:rsidRDefault="00815C60" w:rsidP="00996A46">
            <w:pPr>
              <w:rPr>
                <w:b/>
                <w:bCs/>
                <w:color w:val="000000" w:themeColor="text1"/>
              </w:rPr>
            </w:pPr>
            <w:r w:rsidRPr="00F031E4">
              <w:rPr>
                <w:b/>
                <w:bCs/>
                <w:color w:val="000000" w:themeColor="text1"/>
              </w:rPr>
              <w:t xml:space="preserve">Session Block </w:t>
            </w:r>
            <w:r>
              <w:rPr>
                <w:b/>
                <w:bCs/>
                <w:color w:val="000000" w:themeColor="text1"/>
              </w:rPr>
              <w:t>6</w:t>
            </w:r>
          </w:p>
        </w:tc>
        <w:tc>
          <w:tcPr>
            <w:tcW w:w="838" w:type="dxa"/>
            <w:shd w:val="clear" w:color="auto" w:fill="D9D9D9" w:themeFill="background1" w:themeFillShade="D9"/>
          </w:tcPr>
          <w:p w14:paraId="04666990" w14:textId="77777777" w:rsidR="00815C60" w:rsidRPr="00B44A0C" w:rsidRDefault="00815C60" w:rsidP="00996A46">
            <w:pPr>
              <w:rPr>
                <w:color w:val="000000" w:themeColor="text1"/>
              </w:rPr>
            </w:pPr>
          </w:p>
        </w:tc>
        <w:tc>
          <w:tcPr>
            <w:tcW w:w="1057" w:type="dxa"/>
            <w:shd w:val="clear" w:color="auto" w:fill="D9D9D9" w:themeFill="background1" w:themeFillShade="D9"/>
          </w:tcPr>
          <w:p w14:paraId="67EC60F3" w14:textId="77777777" w:rsidR="00815C60" w:rsidRPr="00B44A0C" w:rsidRDefault="00815C60" w:rsidP="00996A46">
            <w:pPr>
              <w:rPr>
                <w:color w:val="000000" w:themeColor="text1"/>
              </w:rPr>
            </w:pPr>
          </w:p>
        </w:tc>
      </w:tr>
      <w:tr w:rsidR="00815C60" w14:paraId="62E82669" w14:textId="77777777" w:rsidTr="00A67309">
        <w:tc>
          <w:tcPr>
            <w:tcW w:w="8815" w:type="dxa"/>
            <w:shd w:val="clear" w:color="auto" w:fill="FFFFFF" w:themeFill="background1"/>
          </w:tcPr>
          <w:p w14:paraId="15D4BB76" w14:textId="1A3268D5" w:rsidR="00815C60" w:rsidRPr="00A67309" w:rsidRDefault="00815C60" w:rsidP="00815C60">
            <w:pPr>
              <w:rPr>
                <w:rFonts w:cstheme="minorHAnsi"/>
              </w:rPr>
            </w:pPr>
            <w:r w:rsidRPr="00A67309">
              <w:rPr>
                <w:rFonts w:cstheme="minorHAnsi"/>
              </w:rPr>
              <w:t>6A Starting New! Starting with Children and Youth!</w:t>
            </w:r>
          </w:p>
        </w:tc>
        <w:tc>
          <w:tcPr>
            <w:tcW w:w="838" w:type="dxa"/>
            <w:shd w:val="clear" w:color="auto" w:fill="FFFFFF" w:themeFill="background1"/>
          </w:tcPr>
          <w:p w14:paraId="1D285F6F" w14:textId="10B16F8D" w:rsidR="00815C60" w:rsidRPr="00A67309" w:rsidRDefault="00815C60" w:rsidP="00815C60">
            <w:pPr>
              <w:rPr>
                <w:rFonts w:cstheme="minorHAnsi"/>
              </w:rPr>
            </w:pPr>
            <w:r w:rsidRPr="00A67309">
              <w:rPr>
                <w:rFonts w:cstheme="minorHAnsi"/>
              </w:rPr>
              <w:t>.75</w:t>
            </w:r>
          </w:p>
        </w:tc>
        <w:tc>
          <w:tcPr>
            <w:tcW w:w="1057" w:type="dxa"/>
            <w:shd w:val="clear" w:color="auto" w:fill="FFFFFF" w:themeFill="background1"/>
          </w:tcPr>
          <w:p w14:paraId="30E1D654" w14:textId="77777777" w:rsidR="00815C60" w:rsidRPr="00A67309" w:rsidRDefault="00815C60" w:rsidP="00815C60">
            <w:pPr>
              <w:rPr>
                <w:rFonts w:cstheme="minorHAnsi"/>
              </w:rPr>
            </w:pPr>
          </w:p>
        </w:tc>
      </w:tr>
      <w:tr w:rsidR="00815C60" w14:paraId="3F811DC8" w14:textId="77777777" w:rsidTr="00A67309">
        <w:tc>
          <w:tcPr>
            <w:tcW w:w="8815" w:type="dxa"/>
            <w:shd w:val="clear" w:color="auto" w:fill="FFFFFF" w:themeFill="background1"/>
          </w:tcPr>
          <w:p w14:paraId="6F4A8516" w14:textId="7ABFA1E5" w:rsidR="00815C60" w:rsidRPr="00A67309" w:rsidRDefault="00815C60" w:rsidP="00815C60">
            <w:pPr>
              <w:rPr>
                <w:rFonts w:cstheme="minorHAnsi"/>
              </w:rPr>
            </w:pPr>
            <w:r w:rsidRPr="00A67309">
              <w:rPr>
                <w:rFonts w:cstheme="minorHAnsi"/>
              </w:rPr>
              <w:t>6B A Pluralistic Approach to Conflict</w:t>
            </w:r>
          </w:p>
        </w:tc>
        <w:tc>
          <w:tcPr>
            <w:tcW w:w="838" w:type="dxa"/>
            <w:shd w:val="clear" w:color="auto" w:fill="FFFFFF" w:themeFill="background1"/>
          </w:tcPr>
          <w:p w14:paraId="18E0988D" w14:textId="02112AED" w:rsidR="00815C60" w:rsidRPr="00A67309" w:rsidRDefault="00815C60" w:rsidP="00815C60">
            <w:pPr>
              <w:rPr>
                <w:rFonts w:cstheme="minorHAnsi"/>
              </w:rPr>
            </w:pPr>
            <w:r w:rsidRPr="00A67309">
              <w:rPr>
                <w:rFonts w:cstheme="minorHAnsi"/>
              </w:rPr>
              <w:t>.75</w:t>
            </w:r>
          </w:p>
        </w:tc>
        <w:tc>
          <w:tcPr>
            <w:tcW w:w="1057" w:type="dxa"/>
            <w:shd w:val="clear" w:color="auto" w:fill="FFFFFF" w:themeFill="background1"/>
          </w:tcPr>
          <w:p w14:paraId="7B4920ED" w14:textId="77777777" w:rsidR="00815C60" w:rsidRPr="00A67309" w:rsidRDefault="00815C60" w:rsidP="00815C60">
            <w:pPr>
              <w:rPr>
                <w:rFonts w:cstheme="minorHAnsi"/>
              </w:rPr>
            </w:pPr>
          </w:p>
        </w:tc>
      </w:tr>
      <w:tr w:rsidR="00815C60" w14:paraId="71B2DABF" w14:textId="77777777" w:rsidTr="00A67309">
        <w:tc>
          <w:tcPr>
            <w:tcW w:w="8815" w:type="dxa"/>
            <w:shd w:val="clear" w:color="auto" w:fill="FFFFFF" w:themeFill="background1"/>
          </w:tcPr>
          <w:p w14:paraId="5A402D22" w14:textId="77B3AC52" w:rsidR="00815C60" w:rsidRPr="00A67309" w:rsidRDefault="00815C60" w:rsidP="00815C60">
            <w:pPr>
              <w:rPr>
                <w:rFonts w:cstheme="minorHAnsi"/>
              </w:rPr>
            </w:pPr>
            <w:r w:rsidRPr="00A67309">
              <w:rPr>
                <w:rFonts w:cstheme="minorHAnsi"/>
              </w:rPr>
              <w:t>6C But, He's a Narcissist: Navigating Conflict When Visitors Doubt It's Possible</w:t>
            </w:r>
          </w:p>
        </w:tc>
        <w:tc>
          <w:tcPr>
            <w:tcW w:w="838" w:type="dxa"/>
            <w:shd w:val="clear" w:color="auto" w:fill="FFFFFF" w:themeFill="background1"/>
          </w:tcPr>
          <w:p w14:paraId="6B10512F" w14:textId="67A86A23" w:rsidR="00815C60" w:rsidRPr="00A67309" w:rsidRDefault="00815C60" w:rsidP="00815C60">
            <w:pPr>
              <w:rPr>
                <w:rFonts w:cstheme="minorHAnsi"/>
              </w:rPr>
            </w:pPr>
            <w:r w:rsidRPr="00A67309">
              <w:rPr>
                <w:rFonts w:cstheme="minorHAnsi"/>
              </w:rPr>
              <w:t>.75</w:t>
            </w:r>
          </w:p>
        </w:tc>
        <w:tc>
          <w:tcPr>
            <w:tcW w:w="1057" w:type="dxa"/>
            <w:shd w:val="clear" w:color="auto" w:fill="FFFFFF" w:themeFill="background1"/>
          </w:tcPr>
          <w:p w14:paraId="6C075E20" w14:textId="77777777" w:rsidR="00815C60" w:rsidRPr="00A67309" w:rsidRDefault="00815C60" w:rsidP="00815C60">
            <w:pPr>
              <w:rPr>
                <w:rFonts w:cstheme="minorHAnsi"/>
              </w:rPr>
            </w:pPr>
          </w:p>
        </w:tc>
      </w:tr>
      <w:tr w:rsidR="00815C60" w14:paraId="12D9E9C5" w14:textId="77777777" w:rsidTr="00A67309">
        <w:tc>
          <w:tcPr>
            <w:tcW w:w="8815" w:type="dxa"/>
            <w:shd w:val="clear" w:color="auto" w:fill="FFFFFF" w:themeFill="background1"/>
          </w:tcPr>
          <w:p w14:paraId="6A0E4A9F" w14:textId="4B4C2FDA" w:rsidR="00815C60" w:rsidRPr="00A67309" w:rsidRDefault="00815C60" w:rsidP="00815C60">
            <w:pPr>
              <w:rPr>
                <w:rFonts w:cstheme="minorHAnsi"/>
              </w:rPr>
            </w:pPr>
            <w:r w:rsidRPr="00A67309">
              <w:rPr>
                <w:rFonts w:cstheme="minorHAnsi"/>
              </w:rPr>
              <w:t xml:space="preserve">6D "A shared Ombuds Service Model" </w:t>
            </w:r>
          </w:p>
        </w:tc>
        <w:tc>
          <w:tcPr>
            <w:tcW w:w="838" w:type="dxa"/>
            <w:shd w:val="clear" w:color="auto" w:fill="FFFFFF" w:themeFill="background1"/>
          </w:tcPr>
          <w:p w14:paraId="4151A63B" w14:textId="42FCA8B8" w:rsidR="00815C60" w:rsidRPr="00A67309" w:rsidRDefault="00815C60" w:rsidP="00815C60">
            <w:pPr>
              <w:rPr>
                <w:rFonts w:cstheme="minorHAnsi"/>
              </w:rPr>
            </w:pPr>
            <w:r w:rsidRPr="00A67309">
              <w:rPr>
                <w:rFonts w:cstheme="minorHAnsi"/>
              </w:rPr>
              <w:t>.75</w:t>
            </w:r>
          </w:p>
        </w:tc>
        <w:tc>
          <w:tcPr>
            <w:tcW w:w="1057" w:type="dxa"/>
            <w:shd w:val="clear" w:color="auto" w:fill="FFFFFF" w:themeFill="background1"/>
          </w:tcPr>
          <w:p w14:paraId="7462F18F" w14:textId="77777777" w:rsidR="00815C60" w:rsidRPr="00A67309" w:rsidRDefault="00815C60" w:rsidP="00815C60">
            <w:pPr>
              <w:rPr>
                <w:rFonts w:cstheme="minorHAnsi"/>
              </w:rPr>
            </w:pPr>
          </w:p>
        </w:tc>
      </w:tr>
      <w:tr w:rsidR="00815C60" w14:paraId="3D898BE6" w14:textId="77777777" w:rsidTr="00A67309">
        <w:tc>
          <w:tcPr>
            <w:tcW w:w="8815" w:type="dxa"/>
            <w:shd w:val="clear" w:color="auto" w:fill="FFFFFF" w:themeFill="background1"/>
          </w:tcPr>
          <w:p w14:paraId="1057B35E" w14:textId="0931BAA2" w:rsidR="00815C60" w:rsidRPr="00A67309" w:rsidRDefault="00815C60" w:rsidP="00815C60">
            <w:pPr>
              <w:rPr>
                <w:rFonts w:cstheme="minorHAnsi"/>
              </w:rPr>
            </w:pPr>
            <w:r w:rsidRPr="00A67309">
              <w:rPr>
                <w:rFonts w:cstheme="minorHAnsi"/>
              </w:rPr>
              <w:t xml:space="preserve">6E </w:t>
            </w:r>
            <w:r w:rsidRPr="00A67309">
              <w:rPr>
                <w:rFonts w:cstheme="minorHAnsi"/>
              </w:rPr>
              <w:t>The Weekly Checklist: An SOP-friendly Metric for Collecting Operationally</w:t>
            </w:r>
            <w:r w:rsidR="00A67309">
              <w:rPr>
                <w:rFonts w:cstheme="minorHAnsi"/>
              </w:rPr>
              <w:t xml:space="preserve"> </w:t>
            </w:r>
            <w:r w:rsidRPr="00A67309">
              <w:rPr>
                <w:rFonts w:cstheme="minorHAnsi"/>
              </w:rPr>
              <w:t>Useful Value and Effectiveness Data</w:t>
            </w:r>
          </w:p>
        </w:tc>
        <w:tc>
          <w:tcPr>
            <w:tcW w:w="838" w:type="dxa"/>
            <w:shd w:val="clear" w:color="auto" w:fill="FFFFFF" w:themeFill="background1"/>
          </w:tcPr>
          <w:p w14:paraId="0F88E17C" w14:textId="71E169D1" w:rsidR="00815C60" w:rsidRPr="00A67309" w:rsidRDefault="00815C60" w:rsidP="00815C60">
            <w:pPr>
              <w:rPr>
                <w:rFonts w:cstheme="minorHAnsi"/>
              </w:rPr>
            </w:pPr>
            <w:r w:rsidRPr="00A67309">
              <w:rPr>
                <w:rFonts w:cstheme="minorHAnsi"/>
              </w:rPr>
              <w:t>.75</w:t>
            </w:r>
          </w:p>
        </w:tc>
        <w:tc>
          <w:tcPr>
            <w:tcW w:w="1057" w:type="dxa"/>
            <w:shd w:val="clear" w:color="auto" w:fill="FFFFFF" w:themeFill="background1"/>
          </w:tcPr>
          <w:p w14:paraId="113F1EB4" w14:textId="77777777" w:rsidR="00815C60" w:rsidRPr="00A67309" w:rsidRDefault="00815C60" w:rsidP="00815C60">
            <w:pPr>
              <w:rPr>
                <w:rFonts w:cstheme="minorHAnsi"/>
              </w:rPr>
            </w:pPr>
          </w:p>
        </w:tc>
      </w:tr>
      <w:tr w:rsidR="00815C60" w14:paraId="26D3F109" w14:textId="77777777" w:rsidTr="00A939A7">
        <w:tc>
          <w:tcPr>
            <w:tcW w:w="8815" w:type="dxa"/>
            <w:shd w:val="clear" w:color="auto" w:fill="1F1A4E"/>
          </w:tcPr>
          <w:p w14:paraId="264BE4EE" w14:textId="6785EA56" w:rsidR="00815C60" w:rsidRPr="003F09C8" w:rsidRDefault="00815C60" w:rsidP="00815C60">
            <w:pPr>
              <w:rPr>
                <w:b/>
                <w:bCs/>
                <w:color w:val="FFFFFF" w:themeColor="background1"/>
                <w:sz w:val="32"/>
                <w:szCs w:val="32"/>
              </w:rPr>
            </w:pPr>
            <w:r w:rsidRPr="00A939A7">
              <w:rPr>
                <w:b/>
                <w:bCs/>
                <w:color w:val="FFFFFF" w:themeColor="background1"/>
                <w:sz w:val="32"/>
                <w:szCs w:val="32"/>
              </w:rPr>
              <w:t xml:space="preserve">DAY THREE | </w:t>
            </w:r>
            <w:r w:rsidR="00A67309">
              <w:rPr>
                <w:b/>
                <w:bCs/>
                <w:color w:val="FFFFFF" w:themeColor="background1"/>
                <w:sz w:val="32"/>
                <w:szCs w:val="32"/>
              </w:rPr>
              <w:t>15</w:t>
            </w:r>
            <w:r>
              <w:rPr>
                <w:b/>
                <w:bCs/>
                <w:color w:val="FFFFFF" w:themeColor="background1"/>
                <w:sz w:val="32"/>
                <w:szCs w:val="32"/>
              </w:rPr>
              <w:t xml:space="preserve"> April 202</w:t>
            </w:r>
            <w:r w:rsidR="00A67309">
              <w:rPr>
                <w:b/>
                <w:bCs/>
                <w:color w:val="FFFFFF" w:themeColor="background1"/>
                <w:sz w:val="32"/>
                <w:szCs w:val="32"/>
              </w:rPr>
              <w:t>6</w:t>
            </w:r>
          </w:p>
        </w:tc>
        <w:tc>
          <w:tcPr>
            <w:tcW w:w="838" w:type="dxa"/>
            <w:shd w:val="clear" w:color="auto" w:fill="1F1A4E"/>
          </w:tcPr>
          <w:p w14:paraId="489A5514" w14:textId="77777777" w:rsidR="00815C60" w:rsidRPr="00B44A0C" w:rsidRDefault="00815C60" w:rsidP="00815C60">
            <w:pPr>
              <w:rPr>
                <w:color w:val="000000" w:themeColor="text1"/>
              </w:rPr>
            </w:pPr>
          </w:p>
        </w:tc>
        <w:tc>
          <w:tcPr>
            <w:tcW w:w="1057" w:type="dxa"/>
            <w:shd w:val="clear" w:color="auto" w:fill="1F1A4E"/>
          </w:tcPr>
          <w:p w14:paraId="63BEB934" w14:textId="77777777" w:rsidR="00815C60" w:rsidRPr="00B44A0C" w:rsidRDefault="00815C60" w:rsidP="00815C60">
            <w:pPr>
              <w:rPr>
                <w:color w:val="000000" w:themeColor="text1"/>
              </w:rPr>
            </w:pPr>
          </w:p>
        </w:tc>
      </w:tr>
      <w:tr w:rsidR="00815C60" w14:paraId="23161154" w14:textId="77777777" w:rsidTr="0084042A">
        <w:tc>
          <w:tcPr>
            <w:tcW w:w="8815" w:type="dxa"/>
          </w:tcPr>
          <w:p w14:paraId="59FD6CA9" w14:textId="7246EC29" w:rsidR="00815C60" w:rsidRPr="0084042A" w:rsidRDefault="00815C60" w:rsidP="00815C60">
            <w:pPr>
              <w:rPr>
                <w:b/>
                <w:bCs/>
              </w:rPr>
            </w:pPr>
            <w:r w:rsidRPr="0084042A">
              <w:rPr>
                <w:b/>
                <w:bCs/>
              </w:rPr>
              <w:t>Practice Edge</w:t>
            </w:r>
            <w:r>
              <w:rPr>
                <w:b/>
                <w:bCs/>
              </w:rPr>
              <w:t>: A Conversation with Mary Rowe</w:t>
            </w:r>
          </w:p>
        </w:tc>
        <w:tc>
          <w:tcPr>
            <w:tcW w:w="838" w:type="dxa"/>
          </w:tcPr>
          <w:p w14:paraId="6A3E85C7" w14:textId="6A2CA1A0" w:rsidR="00815C60" w:rsidRPr="00B44A0C" w:rsidRDefault="00815C60" w:rsidP="00815C60">
            <w:pPr>
              <w:rPr>
                <w:color w:val="000000" w:themeColor="text1"/>
              </w:rPr>
            </w:pPr>
            <w:r>
              <w:rPr>
                <w:color w:val="000000" w:themeColor="text1"/>
              </w:rPr>
              <w:t>1.0</w:t>
            </w:r>
          </w:p>
        </w:tc>
        <w:tc>
          <w:tcPr>
            <w:tcW w:w="1057" w:type="dxa"/>
          </w:tcPr>
          <w:p w14:paraId="7B9F2331" w14:textId="77777777" w:rsidR="00815C60" w:rsidRPr="00B44A0C" w:rsidRDefault="00815C60" w:rsidP="00815C60">
            <w:pPr>
              <w:rPr>
                <w:color w:val="000000" w:themeColor="text1"/>
              </w:rPr>
            </w:pPr>
          </w:p>
        </w:tc>
      </w:tr>
      <w:tr w:rsidR="00815C60" w14:paraId="6360D2F2" w14:textId="77777777" w:rsidTr="00A939A7">
        <w:tc>
          <w:tcPr>
            <w:tcW w:w="8815" w:type="dxa"/>
            <w:shd w:val="clear" w:color="auto" w:fill="FFFFFF" w:themeFill="background1"/>
          </w:tcPr>
          <w:p w14:paraId="4E4029B9" w14:textId="53EC2D87" w:rsidR="00815C60" w:rsidRPr="00815C60" w:rsidRDefault="00815C60" w:rsidP="00815C60">
            <w:pPr>
              <w:rPr>
                <w:rFonts w:ascii="Calibri" w:hAnsi="Calibri" w:cs="Calibri"/>
                <w:b/>
                <w:bCs/>
              </w:rPr>
            </w:pPr>
            <w:r>
              <w:rPr>
                <w:rFonts w:ascii="Calibri" w:hAnsi="Calibri" w:cs="Calibri"/>
                <w:b/>
                <w:bCs/>
              </w:rPr>
              <w:t xml:space="preserve">ABA Session: </w:t>
            </w:r>
            <w:r w:rsidRPr="00815C60">
              <w:rPr>
                <w:rFonts w:cstheme="minorHAnsi"/>
              </w:rPr>
              <w:t>Track A: Train the trainer</w:t>
            </w:r>
            <w:r w:rsidRPr="00815C60">
              <w:rPr>
                <w:rFonts w:cstheme="minorHAnsi"/>
              </w:rPr>
              <w:br/>
              <w:t>Facilitating A Conflict Management Workshop with Impact</w:t>
            </w:r>
          </w:p>
        </w:tc>
        <w:tc>
          <w:tcPr>
            <w:tcW w:w="838" w:type="dxa"/>
            <w:shd w:val="clear" w:color="auto" w:fill="FFFFFF" w:themeFill="background1"/>
          </w:tcPr>
          <w:p w14:paraId="0E8D8EE7" w14:textId="51E647D3" w:rsidR="00815C60" w:rsidRDefault="00815C60" w:rsidP="00815C60">
            <w:pPr>
              <w:rPr>
                <w:color w:val="000000" w:themeColor="text1"/>
              </w:rPr>
            </w:pPr>
            <w:r>
              <w:rPr>
                <w:color w:val="000000" w:themeColor="text1"/>
              </w:rPr>
              <w:t>3</w:t>
            </w:r>
          </w:p>
        </w:tc>
        <w:tc>
          <w:tcPr>
            <w:tcW w:w="1057" w:type="dxa"/>
            <w:shd w:val="clear" w:color="auto" w:fill="FFFFFF" w:themeFill="background1"/>
          </w:tcPr>
          <w:p w14:paraId="67AFEE96" w14:textId="77777777" w:rsidR="00815C60" w:rsidRPr="00B44A0C" w:rsidRDefault="00815C60" w:rsidP="00815C60">
            <w:pPr>
              <w:rPr>
                <w:color w:val="000000" w:themeColor="text1"/>
              </w:rPr>
            </w:pPr>
          </w:p>
        </w:tc>
      </w:tr>
      <w:tr w:rsidR="00815C60" w14:paraId="7B7015BE" w14:textId="77777777" w:rsidTr="00A939A7">
        <w:tc>
          <w:tcPr>
            <w:tcW w:w="8815" w:type="dxa"/>
            <w:shd w:val="clear" w:color="auto" w:fill="FFFFFF" w:themeFill="background1"/>
          </w:tcPr>
          <w:p w14:paraId="598BA15F" w14:textId="38BD5ED7" w:rsidR="00815C60" w:rsidRPr="00815C60" w:rsidRDefault="00815C60" w:rsidP="00815C60">
            <w:pPr>
              <w:rPr>
                <w:rFonts w:ascii="Calibri" w:hAnsi="Calibri" w:cs="Calibri"/>
                <w:b/>
                <w:bCs/>
              </w:rPr>
            </w:pPr>
            <w:r>
              <w:rPr>
                <w:rFonts w:ascii="Calibri" w:hAnsi="Calibri" w:cs="Calibri"/>
                <w:b/>
                <w:bCs/>
              </w:rPr>
              <w:t xml:space="preserve">ABA Session: </w:t>
            </w:r>
            <w:r w:rsidRPr="00815C60">
              <w:rPr>
                <w:rFonts w:cstheme="minorHAnsi"/>
              </w:rPr>
              <w:t>Track B: Theory in Action</w:t>
            </w:r>
            <w:r w:rsidRPr="00815C60">
              <w:rPr>
                <w:rFonts w:cstheme="minorHAnsi"/>
              </w:rPr>
              <w:br/>
              <w:t>Deepening your skills for multi-party and organizational team disputes</w:t>
            </w:r>
          </w:p>
        </w:tc>
        <w:tc>
          <w:tcPr>
            <w:tcW w:w="838" w:type="dxa"/>
            <w:shd w:val="clear" w:color="auto" w:fill="FFFFFF" w:themeFill="background1"/>
          </w:tcPr>
          <w:p w14:paraId="5CBA9C1E" w14:textId="0A5E53AE" w:rsidR="00815C60" w:rsidRDefault="00815C60" w:rsidP="00815C60">
            <w:pPr>
              <w:rPr>
                <w:color w:val="000000" w:themeColor="text1"/>
              </w:rPr>
            </w:pPr>
            <w:r>
              <w:rPr>
                <w:color w:val="000000" w:themeColor="text1"/>
              </w:rPr>
              <w:t>3</w:t>
            </w:r>
          </w:p>
        </w:tc>
        <w:tc>
          <w:tcPr>
            <w:tcW w:w="1057" w:type="dxa"/>
            <w:shd w:val="clear" w:color="auto" w:fill="FFFFFF" w:themeFill="background1"/>
          </w:tcPr>
          <w:p w14:paraId="7E04063C" w14:textId="77777777" w:rsidR="00815C60" w:rsidRPr="00B44A0C" w:rsidRDefault="00815C60" w:rsidP="00815C60">
            <w:pPr>
              <w:rPr>
                <w:color w:val="000000" w:themeColor="text1"/>
              </w:rPr>
            </w:pPr>
          </w:p>
        </w:tc>
      </w:tr>
    </w:tbl>
    <w:p w14:paraId="5A7A22F3" w14:textId="4B905D82" w:rsidR="00DF0F39" w:rsidRPr="00142088" w:rsidRDefault="00DF0F39" w:rsidP="000E3321">
      <w:pPr>
        <w:rPr>
          <w:b/>
          <w:bCs/>
        </w:rPr>
      </w:pPr>
    </w:p>
    <w:sectPr w:rsidR="00DF0F39" w:rsidRPr="00142088" w:rsidSect="007E2CDC">
      <w:headerReference w:type="even" r:id="rId7"/>
      <w:headerReference w:type="default" r:id="rId8"/>
      <w:footerReference w:type="even" r:id="rId9"/>
      <w:footerReference w:type="default" r:id="rId10"/>
      <w:headerReference w:type="first" r:id="rId11"/>
      <w:footerReference w:type="first" r:id="rId12"/>
      <w:pgSz w:w="12240" w:h="15840"/>
      <w:pgMar w:top="720" w:right="740" w:bottom="280" w:left="7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B45B" w14:textId="77777777" w:rsidR="00C37BB2" w:rsidRDefault="00C37BB2" w:rsidP="00A35B04">
      <w:pPr>
        <w:spacing w:after="0" w:line="240" w:lineRule="auto"/>
      </w:pPr>
      <w:r>
        <w:separator/>
      </w:r>
    </w:p>
  </w:endnote>
  <w:endnote w:type="continuationSeparator" w:id="0">
    <w:p w14:paraId="61495036" w14:textId="77777777" w:rsidR="00C37BB2" w:rsidRDefault="00C37BB2" w:rsidP="00A3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90CA" w14:textId="77777777" w:rsidR="00A67309" w:rsidRDefault="00A67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47E1" w14:textId="0CD7F676" w:rsidR="003F09C8" w:rsidRDefault="003F09C8" w:rsidP="003F09C8">
    <w:pPr>
      <w:pStyle w:val="Footer"/>
      <w:jc w:val="right"/>
    </w:pPr>
    <w:r>
      <w:t>Ov</w:t>
    </w:r>
    <w:r w:rsidRPr="003F09C8">
      <w:t>er</w:t>
    </w:r>
    <w:r w:rsidRPr="003F09C8">
      <w:rPr>
        <w:sz w:val="56"/>
        <w:szCs w:val="56"/>
      </w:rPr>
      <w:t xml:space="preserve"> </w:t>
    </w:r>
    <w:r w:rsidRPr="003F09C8">
      <w:rPr>
        <w:rFonts w:cstheme="minorHAnsi"/>
        <w:sz w:val="56"/>
        <w:szCs w:val="5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3F16" w14:textId="77777777" w:rsidR="00A67309" w:rsidRDefault="00A67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91C2" w14:textId="77777777" w:rsidR="00C37BB2" w:rsidRDefault="00C37BB2" w:rsidP="00A35B04">
      <w:pPr>
        <w:spacing w:after="0" w:line="240" w:lineRule="auto"/>
      </w:pPr>
      <w:r>
        <w:separator/>
      </w:r>
    </w:p>
  </w:footnote>
  <w:footnote w:type="continuationSeparator" w:id="0">
    <w:p w14:paraId="07ADE754" w14:textId="77777777" w:rsidR="00C37BB2" w:rsidRDefault="00C37BB2" w:rsidP="00A3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E852" w14:textId="77777777" w:rsidR="00A67309" w:rsidRDefault="00A67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CBA5" w14:textId="24DE75A1" w:rsidR="00D96D22" w:rsidRDefault="00D96D22" w:rsidP="00D96D22">
    <w:pPr>
      <w:pStyle w:val="Header"/>
      <w:jc w:val="center"/>
    </w:pPr>
    <w:r>
      <w:rPr>
        <w:noProof/>
      </w:rPr>
      <w:drawing>
        <wp:inline distT="0" distB="0" distL="0" distR="0" wp14:anchorId="05536F7E" wp14:editId="59181A30">
          <wp:extent cx="2171712" cy="687708"/>
          <wp:effectExtent l="0" t="0" r="0" b="0"/>
          <wp:docPr id="54787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7616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71712" cy="6877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9FC" w14:textId="77777777" w:rsidR="00A67309" w:rsidRDefault="00A67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1C"/>
    <w:rsid w:val="00040AB7"/>
    <w:rsid w:val="000617FE"/>
    <w:rsid w:val="00066753"/>
    <w:rsid w:val="000E3321"/>
    <w:rsid w:val="00142088"/>
    <w:rsid w:val="001554E6"/>
    <w:rsid w:val="002451CD"/>
    <w:rsid w:val="00316D65"/>
    <w:rsid w:val="00322053"/>
    <w:rsid w:val="003F09C8"/>
    <w:rsid w:val="00407894"/>
    <w:rsid w:val="00534293"/>
    <w:rsid w:val="00534721"/>
    <w:rsid w:val="00584543"/>
    <w:rsid w:val="00602B69"/>
    <w:rsid w:val="00630DB1"/>
    <w:rsid w:val="00667110"/>
    <w:rsid w:val="006840B1"/>
    <w:rsid w:val="0068476B"/>
    <w:rsid w:val="006F59BE"/>
    <w:rsid w:val="00701DB5"/>
    <w:rsid w:val="007E2CDC"/>
    <w:rsid w:val="00815C60"/>
    <w:rsid w:val="00817EA2"/>
    <w:rsid w:val="0084042A"/>
    <w:rsid w:val="008A341C"/>
    <w:rsid w:val="0091642E"/>
    <w:rsid w:val="00992567"/>
    <w:rsid w:val="009F6062"/>
    <w:rsid w:val="00A24629"/>
    <w:rsid w:val="00A35B04"/>
    <w:rsid w:val="00A67309"/>
    <w:rsid w:val="00A939A7"/>
    <w:rsid w:val="00AC462E"/>
    <w:rsid w:val="00AD13B1"/>
    <w:rsid w:val="00AE76D2"/>
    <w:rsid w:val="00AF05F8"/>
    <w:rsid w:val="00B34C5B"/>
    <w:rsid w:val="00B429FB"/>
    <w:rsid w:val="00B44A0C"/>
    <w:rsid w:val="00B478A2"/>
    <w:rsid w:val="00B73C9C"/>
    <w:rsid w:val="00C002AA"/>
    <w:rsid w:val="00C37BB2"/>
    <w:rsid w:val="00C5261D"/>
    <w:rsid w:val="00CF779F"/>
    <w:rsid w:val="00D96D22"/>
    <w:rsid w:val="00DA3BCD"/>
    <w:rsid w:val="00DD2715"/>
    <w:rsid w:val="00DF0F39"/>
    <w:rsid w:val="00E4741E"/>
    <w:rsid w:val="00E86D0D"/>
    <w:rsid w:val="00EC4985"/>
    <w:rsid w:val="00F031E4"/>
    <w:rsid w:val="00F651DC"/>
    <w:rsid w:val="00F8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CC5A"/>
  <w15:chartTrackingRefBased/>
  <w15:docId w15:val="{DAF31595-8EC6-4215-B682-CC51CEAD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A341C"/>
    <w:pPr>
      <w:autoSpaceDE w:val="0"/>
      <w:autoSpaceDN w:val="0"/>
      <w:adjustRightInd w:val="0"/>
      <w:spacing w:after="0" w:line="240" w:lineRule="auto"/>
      <w:ind w:left="119"/>
    </w:pPr>
    <w:rPr>
      <w:rFonts w:ascii="Times New Roman" w:hAnsi="Times New Roman" w:cs="Times New Roman"/>
      <w:sz w:val="24"/>
      <w:szCs w:val="24"/>
    </w:rPr>
  </w:style>
  <w:style w:type="character" w:customStyle="1" w:styleId="TitleChar">
    <w:name w:val="Title Char"/>
    <w:basedOn w:val="DefaultParagraphFont"/>
    <w:link w:val="Title"/>
    <w:uiPriority w:val="1"/>
    <w:rsid w:val="008A341C"/>
    <w:rPr>
      <w:rFonts w:ascii="Times New Roman" w:hAnsi="Times New Roman" w:cs="Times New Roman"/>
      <w:sz w:val="24"/>
      <w:szCs w:val="24"/>
    </w:rPr>
  </w:style>
  <w:style w:type="paragraph" w:customStyle="1" w:styleId="Default">
    <w:name w:val="Default"/>
    <w:rsid w:val="008A341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4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7EA2"/>
    <w:rPr>
      <w:color w:val="0563C1" w:themeColor="hyperlink"/>
      <w:u w:val="single"/>
    </w:rPr>
  </w:style>
  <w:style w:type="character" w:styleId="UnresolvedMention">
    <w:name w:val="Unresolved Mention"/>
    <w:basedOn w:val="DefaultParagraphFont"/>
    <w:uiPriority w:val="99"/>
    <w:semiHidden/>
    <w:unhideWhenUsed/>
    <w:rsid w:val="00817EA2"/>
    <w:rPr>
      <w:color w:val="605E5C"/>
      <w:shd w:val="clear" w:color="auto" w:fill="E1DFDD"/>
    </w:rPr>
  </w:style>
  <w:style w:type="paragraph" w:styleId="Header">
    <w:name w:val="header"/>
    <w:basedOn w:val="Normal"/>
    <w:link w:val="HeaderChar"/>
    <w:uiPriority w:val="99"/>
    <w:unhideWhenUsed/>
    <w:rsid w:val="00A3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B04"/>
  </w:style>
  <w:style w:type="paragraph" w:styleId="Footer">
    <w:name w:val="footer"/>
    <w:basedOn w:val="Normal"/>
    <w:link w:val="FooterChar"/>
    <w:uiPriority w:val="99"/>
    <w:unhideWhenUsed/>
    <w:rsid w:val="00A3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966574">
      <w:bodyDiv w:val="1"/>
      <w:marLeft w:val="0"/>
      <w:marRight w:val="0"/>
      <w:marTop w:val="0"/>
      <w:marBottom w:val="0"/>
      <w:divBdr>
        <w:top w:val="none" w:sz="0" w:space="0" w:color="auto"/>
        <w:left w:val="none" w:sz="0" w:space="0" w:color="auto"/>
        <w:bottom w:val="none" w:sz="0" w:space="0" w:color="auto"/>
        <w:right w:val="none" w:sz="0" w:space="0" w:color="auto"/>
      </w:divBdr>
    </w:div>
    <w:div w:id="17969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oaconference.org/meet-the-keynot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Couch</dc:creator>
  <cp:keywords/>
  <dc:description/>
  <cp:lastModifiedBy>Kat Thornton</cp:lastModifiedBy>
  <cp:revision>3</cp:revision>
  <dcterms:created xsi:type="dcterms:W3CDTF">2026-03-06T23:04:00Z</dcterms:created>
  <dcterms:modified xsi:type="dcterms:W3CDTF">2026-03-06T23:40:00Z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98d523d8-74e2-4446-8dff-07d4bb3b3c68</vt:lpwstr>
  </property>
</Properties>
</file>